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0D514" w14:textId="069D3EC8" w:rsidR="003E3B86" w:rsidRPr="009B71DD" w:rsidRDefault="003E3B86" w:rsidP="003E3B86">
      <w:pPr>
        <w:tabs>
          <w:tab w:val="left" w:pos="3060"/>
        </w:tabs>
        <w:spacing w:after="150" w:line="300" w:lineRule="atLeast"/>
        <w:ind w:left="-270"/>
        <w:rPr>
          <w:rFonts w:cs="Arial"/>
          <w:b/>
          <w:color w:val="000000" w:themeColor="text1"/>
          <w:sz w:val="32"/>
          <w:szCs w:val="32"/>
        </w:rPr>
      </w:pPr>
      <w:bookmarkStart w:id="0" w:name="_GoBack"/>
      <w:bookmarkEnd w:id="0"/>
      <w:r w:rsidRPr="009B71DD">
        <w:rPr>
          <w:rFonts w:cs="Arial"/>
          <w:b/>
          <w:color w:val="000000" w:themeColor="text1"/>
          <w:sz w:val="32"/>
          <w:szCs w:val="32"/>
        </w:rPr>
        <w:t>Geriatric Change of Mental Status / Polypharmacy</w:t>
      </w:r>
    </w:p>
    <w:p w14:paraId="43832DC0" w14:textId="77777777" w:rsidR="003E3B86" w:rsidRPr="00C4099B" w:rsidRDefault="003E3B86" w:rsidP="003E3B86">
      <w:pPr>
        <w:tabs>
          <w:tab w:val="left" w:pos="3060"/>
        </w:tabs>
        <w:spacing w:after="150" w:line="300" w:lineRule="atLeast"/>
        <w:ind w:left="-270"/>
        <w:rPr>
          <w:rFonts w:ascii="Arial" w:hAnsi="Arial" w:cs="Arial"/>
          <w:b/>
          <w:color w:val="606060"/>
          <w:sz w:val="21"/>
          <w:szCs w:val="21"/>
        </w:rPr>
      </w:pPr>
      <w:r w:rsidRPr="00C4099B">
        <w:rPr>
          <w:b/>
        </w:rPr>
        <w:t>Abstract</w:t>
      </w:r>
    </w:p>
    <w:p w14:paraId="796910BB" w14:textId="2CAF291A" w:rsidR="003E3B86" w:rsidRPr="00C4099B" w:rsidRDefault="003E3B86" w:rsidP="003E3B86">
      <w:pPr>
        <w:tabs>
          <w:tab w:val="left" w:pos="3060"/>
        </w:tabs>
        <w:spacing w:after="150" w:line="300" w:lineRule="atLeast"/>
        <w:ind w:left="-270"/>
      </w:pPr>
      <w:r w:rsidRPr="00C4099B">
        <w:t xml:space="preserve">This material supports a session teaching key principles in geriatrics including change in mental status and polypharmacy. This session was taught at Tufts University School of Medicine, Boston MA, in a 6-week block core FM clerkship. The </w:t>
      </w:r>
      <w:proofErr w:type="gramStart"/>
      <w:r w:rsidRPr="00C4099B">
        <w:t>60-75 minute</w:t>
      </w:r>
      <w:proofErr w:type="gramEnd"/>
      <w:r w:rsidRPr="00C4099B">
        <w:t xml:space="preserve"> session centers on a case of an 80 year old female presenting with change of mental status and uses a Team Based Learning approach for students to general a differential diagnosis, perform physical exam, "order" labs and interpret results, work through the pathophysiology of how the delirium developed, and create a t</w:t>
      </w:r>
      <w:r w:rsidR="00B550E4">
        <w:t>reatment plan for the patient. </w:t>
      </w:r>
    </w:p>
    <w:p w14:paraId="7CDECE16" w14:textId="77777777" w:rsidR="003E3B86" w:rsidRPr="00C4099B" w:rsidRDefault="003E3B86" w:rsidP="003E3B86">
      <w:pPr>
        <w:tabs>
          <w:tab w:val="left" w:pos="3060"/>
        </w:tabs>
        <w:spacing w:after="150" w:line="300" w:lineRule="atLeast"/>
        <w:ind w:left="-270"/>
        <w:rPr>
          <w:rFonts w:ascii="Arial" w:hAnsi="Arial" w:cs="Arial"/>
          <w:color w:val="606060"/>
        </w:rPr>
      </w:pPr>
      <w:r w:rsidRPr="00C4099B">
        <w:t>Learning Outcomes include student quantitative ratings as well as qualitative evaluations, which have been overwhelmingly positive. Mandatory anonymous student ratings of the session averaged 3.89 out of 4.00 over 2 years. Themes of anonymous qualitative data include student appreciation of the holistic approach to this ill patient, family physician faculty teaching complex cases, and a fun interactive way to learn and engage with the dense material covered</w:t>
      </w:r>
    </w:p>
    <w:p w14:paraId="7A1E4E55" w14:textId="77777777" w:rsidR="003E3B86" w:rsidRPr="003E3B86" w:rsidRDefault="003E3B86" w:rsidP="003E3B86">
      <w:pPr>
        <w:tabs>
          <w:tab w:val="left" w:pos="3060"/>
        </w:tabs>
        <w:spacing w:after="150" w:line="300" w:lineRule="atLeast"/>
        <w:ind w:left="-270"/>
        <w:rPr>
          <w:rFonts w:ascii="Arial" w:hAnsi="Arial" w:cs="Arial"/>
          <w:b/>
          <w:color w:val="606060"/>
          <w:sz w:val="21"/>
          <w:szCs w:val="21"/>
        </w:rPr>
      </w:pPr>
      <w:r w:rsidRPr="003E3B86">
        <w:rPr>
          <w:b/>
        </w:rPr>
        <w:t>Curricular Focus</w:t>
      </w:r>
      <w:r w:rsidRPr="003E3B86">
        <w:rPr>
          <w:b/>
        </w:rPr>
        <w:tab/>
      </w:r>
    </w:p>
    <w:p w14:paraId="57BAFBFC" w14:textId="77777777" w:rsidR="003E3B86" w:rsidRPr="003E3B86" w:rsidRDefault="003E3B86" w:rsidP="003E3B86">
      <w:pPr>
        <w:pStyle w:val="ListParagraph"/>
        <w:numPr>
          <w:ilvl w:val="0"/>
          <w:numId w:val="3"/>
        </w:numPr>
        <w:tabs>
          <w:tab w:val="left" w:pos="3060"/>
        </w:tabs>
        <w:spacing w:after="150" w:line="300" w:lineRule="atLeast"/>
        <w:rPr>
          <w:rFonts w:ascii="Arial" w:hAnsi="Arial" w:cs="Arial"/>
          <w:color w:val="606060"/>
          <w:sz w:val="21"/>
          <w:szCs w:val="21"/>
        </w:rPr>
      </w:pPr>
      <w:r w:rsidRPr="003E3B86">
        <w:t>Core Presentations for Acute Care</w:t>
      </w:r>
    </w:p>
    <w:p w14:paraId="4F1C6DD8" w14:textId="77777777" w:rsidR="003E3B86" w:rsidRPr="003E3B86" w:rsidRDefault="003E3B86" w:rsidP="003E3B86">
      <w:pPr>
        <w:pStyle w:val="ListParagraph"/>
        <w:numPr>
          <w:ilvl w:val="0"/>
          <w:numId w:val="3"/>
        </w:numPr>
        <w:tabs>
          <w:tab w:val="left" w:pos="3060"/>
        </w:tabs>
        <w:spacing w:after="150" w:line="300" w:lineRule="atLeast"/>
        <w:rPr>
          <w:rFonts w:ascii="Arial" w:hAnsi="Arial" w:cs="Arial"/>
          <w:color w:val="606060"/>
          <w:sz w:val="21"/>
          <w:szCs w:val="21"/>
        </w:rPr>
      </w:pPr>
      <w:r w:rsidRPr="003E3B86">
        <w:t>Core Presentations for Chronic Diseases</w:t>
      </w:r>
    </w:p>
    <w:p w14:paraId="4E00F89F" w14:textId="77777777" w:rsidR="003E3B86" w:rsidRPr="003E3B86" w:rsidRDefault="003E3B86" w:rsidP="003E3B86">
      <w:pPr>
        <w:pStyle w:val="ListParagraph"/>
        <w:numPr>
          <w:ilvl w:val="0"/>
          <w:numId w:val="3"/>
        </w:numPr>
        <w:tabs>
          <w:tab w:val="left" w:pos="3060"/>
        </w:tabs>
        <w:spacing w:after="150" w:line="300" w:lineRule="atLeast"/>
        <w:rPr>
          <w:rFonts w:ascii="Arial" w:hAnsi="Arial" w:cs="Arial"/>
          <w:color w:val="606060"/>
          <w:sz w:val="21"/>
          <w:szCs w:val="21"/>
        </w:rPr>
      </w:pPr>
      <w:r w:rsidRPr="003E3B86">
        <w:t>Health Promotion &amp; Disease Prevention</w:t>
      </w:r>
    </w:p>
    <w:p w14:paraId="127C7C94" w14:textId="77777777" w:rsidR="003E3B86" w:rsidRDefault="003E3B86" w:rsidP="003E3B86">
      <w:pPr>
        <w:pStyle w:val="ListParagraph"/>
        <w:tabs>
          <w:tab w:val="left" w:pos="3060"/>
        </w:tabs>
        <w:spacing w:after="150" w:line="300" w:lineRule="atLeast"/>
        <w:ind w:left="-270"/>
        <w:rPr>
          <w:b/>
        </w:rPr>
      </w:pPr>
    </w:p>
    <w:p w14:paraId="06DEA5EC" w14:textId="77777777" w:rsidR="003E3B86" w:rsidRPr="003E3B86" w:rsidRDefault="003E3B86" w:rsidP="003E3B86">
      <w:pPr>
        <w:pStyle w:val="ListParagraph"/>
        <w:tabs>
          <w:tab w:val="left" w:pos="3060"/>
        </w:tabs>
        <w:spacing w:after="150" w:line="300" w:lineRule="atLeast"/>
        <w:ind w:left="-270"/>
        <w:rPr>
          <w:b/>
        </w:rPr>
      </w:pPr>
      <w:r w:rsidRPr="003E3B86">
        <w:rPr>
          <w:b/>
        </w:rPr>
        <w:t>Authors:</w:t>
      </w:r>
      <w:r w:rsidRPr="003E3B86">
        <w:rPr>
          <w:b/>
        </w:rPr>
        <w:tab/>
      </w:r>
    </w:p>
    <w:p w14:paraId="3C6587DA" w14:textId="77777777" w:rsidR="003E3B86" w:rsidRDefault="003E3B86" w:rsidP="003E3B86">
      <w:pPr>
        <w:pStyle w:val="ListParagraph"/>
        <w:tabs>
          <w:tab w:val="left" w:pos="3060"/>
        </w:tabs>
        <w:spacing w:after="150" w:line="300" w:lineRule="atLeast"/>
        <w:ind w:left="-270"/>
      </w:pPr>
      <w:r>
        <w:t xml:space="preserve">Deborah </w:t>
      </w:r>
      <w:proofErr w:type="spellStart"/>
      <w:r>
        <w:t>Erlich</w:t>
      </w:r>
      <w:proofErr w:type="spellEnd"/>
      <w:r>
        <w:t xml:space="preserve">, MD, Tufts Family Medicine, </w:t>
      </w:r>
      <w:r w:rsidRPr="003E3B86">
        <w:t>Boston, MA</w:t>
      </w:r>
    </w:p>
    <w:p w14:paraId="12BFE291" w14:textId="77777777" w:rsidR="003E3B86" w:rsidRDefault="003E3B86" w:rsidP="003E3B86">
      <w:pPr>
        <w:pStyle w:val="ListParagraph"/>
        <w:tabs>
          <w:tab w:val="left" w:pos="3060"/>
        </w:tabs>
        <w:spacing w:after="150" w:line="300" w:lineRule="atLeast"/>
        <w:ind w:left="-270"/>
      </w:pPr>
      <w:r>
        <w:t xml:space="preserve">Molly </w:t>
      </w:r>
      <w:r w:rsidRPr="003E3B86">
        <w:t>Cohen-</w:t>
      </w:r>
      <w:proofErr w:type="spellStart"/>
      <w:r w:rsidRPr="003E3B86">
        <w:t>Osher</w:t>
      </w:r>
      <w:proofErr w:type="spellEnd"/>
      <w:r>
        <w:t xml:space="preserve">, MD, </w:t>
      </w:r>
      <w:r w:rsidRPr="003E3B86">
        <w:t>Boston University</w:t>
      </w:r>
    </w:p>
    <w:p w14:paraId="37D7F3E0" w14:textId="39D5C082" w:rsidR="003E3B86" w:rsidRDefault="003E3B86" w:rsidP="003E3B86">
      <w:pPr>
        <w:pStyle w:val="ListParagraph"/>
        <w:tabs>
          <w:tab w:val="left" w:pos="3060"/>
        </w:tabs>
        <w:spacing w:after="150" w:line="300" w:lineRule="atLeast"/>
        <w:ind w:left="-270"/>
      </w:pPr>
      <w:r>
        <w:t xml:space="preserve">Wayne J </w:t>
      </w:r>
      <w:r w:rsidRPr="003E3B86">
        <w:t xml:space="preserve">Altman, </w:t>
      </w:r>
      <w:r>
        <w:t xml:space="preserve">MD Tufts University, </w:t>
      </w:r>
      <w:r w:rsidR="00AE1D08">
        <w:t>Boston, MA</w:t>
      </w:r>
    </w:p>
    <w:p w14:paraId="738950FC" w14:textId="77777777" w:rsidR="003E3B86" w:rsidRDefault="003E3B86" w:rsidP="003E3B86">
      <w:pPr>
        <w:pStyle w:val="ListParagraph"/>
        <w:tabs>
          <w:tab w:val="left" w:pos="3060"/>
        </w:tabs>
        <w:spacing w:after="150" w:line="300" w:lineRule="atLeast"/>
        <w:ind w:left="-270"/>
      </w:pPr>
    </w:p>
    <w:p w14:paraId="4B3B8C34" w14:textId="77777777" w:rsidR="003E3B86" w:rsidRPr="003E3B86" w:rsidRDefault="003E3B86" w:rsidP="003E3B86">
      <w:pPr>
        <w:pStyle w:val="ListParagraph"/>
        <w:tabs>
          <w:tab w:val="left" w:pos="3060"/>
        </w:tabs>
        <w:spacing w:after="150" w:line="300" w:lineRule="atLeast"/>
        <w:ind w:left="-270"/>
        <w:rPr>
          <w:b/>
        </w:rPr>
      </w:pPr>
      <w:r w:rsidRPr="003E3B86">
        <w:rPr>
          <w:b/>
        </w:rPr>
        <w:t>Disclosure of Financial Relationships</w:t>
      </w:r>
    </w:p>
    <w:p w14:paraId="26529A07" w14:textId="77777777" w:rsidR="004C19C3" w:rsidRDefault="003E3B86" w:rsidP="004C19C3">
      <w:pPr>
        <w:pStyle w:val="ListParagraph"/>
        <w:tabs>
          <w:tab w:val="left" w:pos="3060"/>
        </w:tabs>
        <w:spacing w:after="150" w:line="300" w:lineRule="atLeast"/>
        <w:ind w:left="-270"/>
      </w:pPr>
      <w:r w:rsidRPr="003E3B86">
        <w:t>None of the authors or their immediate family have a financial relationship or interest in any commercial interest producing health care goods or services consumed by or used on patients.</w:t>
      </w:r>
    </w:p>
    <w:p w14:paraId="73E526CB" w14:textId="77777777" w:rsidR="004C19C3" w:rsidRDefault="004C19C3" w:rsidP="004C19C3">
      <w:pPr>
        <w:pStyle w:val="ListParagraph"/>
        <w:tabs>
          <w:tab w:val="left" w:pos="3060"/>
        </w:tabs>
        <w:spacing w:after="150" w:line="300" w:lineRule="atLeast"/>
        <w:ind w:left="-270"/>
      </w:pPr>
    </w:p>
    <w:p w14:paraId="2E0A22B1" w14:textId="77777777" w:rsidR="004C19C3" w:rsidRDefault="004C19C3" w:rsidP="004C19C3">
      <w:pPr>
        <w:pStyle w:val="ListParagraph"/>
        <w:tabs>
          <w:tab w:val="left" w:pos="3060"/>
        </w:tabs>
        <w:spacing w:after="150" w:line="300" w:lineRule="atLeast"/>
        <w:ind w:left="-270"/>
        <w:rPr>
          <w:b/>
        </w:rPr>
      </w:pPr>
      <w:r w:rsidRPr="004C19C3">
        <w:rPr>
          <w:b/>
        </w:rPr>
        <w:t>C</w:t>
      </w:r>
      <w:r w:rsidR="003E3B86" w:rsidRPr="004C19C3">
        <w:rPr>
          <w:b/>
        </w:rPr>
        <w:t>lerkship Structure</w:t>
      </w:r>
    </w:p>
    <w:p w14:paraId="26810115" w14:textId="77777777" w:rsidR="00550FAC" w:rsidRDefault="003E3B86" w:rsidP="00550FAC">
      <w:pPr>
        <w:pStyle w:val="ListParagraph"/>
        <w:tabs>
          <w:tab w:val="left" w:pos="3060"/>
        </w:tabs>
        <w:spacing w:after="150" w:line="300" w:lineRule="atLeast"/>
        <w:ind w:left="-270"/>
      </w:pPr>
      <w:r w:rsidRPr="004C19C3">
        <w:t>Mandatory 6-week block rotation in Family Medicine during 3rd year core clerkship experience, comprising 24 clinical d</w:t>
      </w:r>
      <w:r w:rsidR="004C19C3">
        <w:t xml:space="preserve">ays and 6 didactic days.  </w:t>
      </w:r>
      <w:r w:rsidRPr="004C19C3">
        <w:t>200 students complete the rotation each year across 20-35 sites per block, from a bank of 60 sites that range from small solo practices to very large community health centers.</w:t>
      </w:r>
    </w:p>
    <w:p w14:paraId="03402DC7" w14:textId="77777777" w:rsidR="00550FAC" w:rsidRDefault="00550FAC" w:rsidP="00550FAC">
      <w:pPr>
        <w:pStyle w:val="ListParagraph"/>
        <w:tabs>
          <w:tab w:val="left" w:pos="3060"/>
        </w:tabs>
        <w:spacing w:after="150" w:line="300" w:lineRule="atLeast"/>
        <w:ind w:left="-270"/>
      </w:pPr>
    </w:p>
    <w:p w14:paraId="3C4EF0F5" w14:textId="48B7BAB8" w:rsidR="00F26728" w:rsidRPr="00550FAC" w:rsidRDefault="00F26728" w:rsidP="00550FAC">
      <w:pPr>
        <w:pStyle w:val="ListParagraph"/>
        <w:tabs>
          <w:tab w:val="left" w:pos="3060"/>
        </w:tabs>
        <w:spacing w:after="150" w:line="300" w:lineRule="atLeast"/>
        <w:ind w:left="-270"/>
      </w:pPr>
      <w:r w:rsidRPr="00550FAC">
        <w:rPr>
          <w:b/>
        </w:rPr>
        <w:t>National Clerkship Curriculum Objectives Addressed</w:t>
      </w:r>
    </w:p>
    <w:p w14:paraId="317D696F" w14:textId="77777777" w:rsidR="00F26728" w:rsidRPr="00F26728" w:rsidRDefault="00F26728" w:rsidP="00F26728">
      <w:pPr>
        <w:pStyle w:val="ListParagraph"/>
        <w:numPr>
          <w:ilvl w:val="0"/>
          <w:numId w:val="5"/>
        </w:numPr>
        <w:tabs>
          <w:tab w:val="left" w:pos="3060"/>
        </w:tabs>
        <w:spacing w:after="150" w:line="300" w:lineRule="atLeast"/>
        <w:rPr>
          <w:b/>
        </w:rPr>
      </w:pPr>
      <w:r w:rsidRPr="00F26728">
        <w:t>Teach an approach to the evaluation and initial management of acute presentations commonl</w:t>
      </w:r>
      <w:r>
        <w:t>y seen in the office setting. </w:t>
      </w:r>
    </w:p>
    <w:p w14:paraId="2B87797C" w14:textId="77777777" w:rsidR="00F26728" w:rsidRPr="00F26728" w:rsidRDefault="00F26728" w:rsidP="00F26728">
      <w:pPr>
        <w:pStyle w:val="ListParagraph"/>
        <w:numPr>
          <w:ilvl w:val="0"/>
          <w:numId w:val="5"/>
        </w:numPr>
        <w:tabs>
          <w:tab w:val="left" w:pos="3060"/>
        </w:tabs>
        <w:spacing w:after="150" w:line="300" w:lineRule="atLeast"/>
        <w:rPr>
          <w:b/>
        </w:rPr>
      </w:pPr>
      <w:r w:rsidRPr="00F26728">
        <w:t>Gather information, formulate differential diagnoses, and propose plans for the initial evaluation and management of patients with comm</w:t>
      </w:r>
      <w:r>
        <w:t>on presentations. </w:t>
      </w:r>
    </w:p>
    <w:p w14:paraId="6A41E741" w14:textId="77777777" w:rsidR="00F26728" w:rsidRPr="00F26728" w:rsidRDefault="00F26728" w:rsidP="00F26728">
      <w:pPr>
        <w:pStyle w:val="ListParagraph"/>
        <w:numPr>
          <w:ilvl w:val="0"/>
          <w:numId w:val="5"/>
        </w:numPr>
        <w:tabs>
          <w:tab w:val="left" w:pos="3060"/>
        </w:tabs>
        <w:spacing w:after="150" w:line="300" w:lineRule="atLeast"/>
        <w:rPr>
          <w:b/>
        </w:rPr>
      </w:pPr>
      <w:r w:rsidRPr="00F26728">
        <w:lastRenderedPageBreak/>
        <w:t>Develop evidence-based health promotion/disease prevention plans for p</w:t>
      </w:r>
      <w:r>
        <w:t>atients of any age or gender. </w:t>
      </w:r>
    </w:p>
    <w:p w14:paraId="296BF9FF" w14:textId="77777777" w:rsidR="003030BB" w:rsidRPr="003030BB" w:rsidRDefault="00F26728" w:rsidP="003030BB">
      <w:pPr>
        <w:pStyle w:val="ListParagraph"/>
        <w:numPr>
          <w:ilvl w:val="0"/>
          <w:numId w:val="5"/>
        </w:numPr>
        <w:tabs>
          <w:tab w:val="left" w:pos="3060"/>
        </w:tabs>
        <w:spacing w:after="150" w:line="300" w:lineRule="atLeast"/>
        <w:rPr>
          <w:b/>
        </w:rPr>
      </w:pPr>
      <w:r w:rsidRPr="00F26728">
        <w:t>Demonstrate competency in advanced elicitation of history, communication, physical examination, and critical thinking skills.</w:t>
      </w:r>
    </w:p>
    <w:p w14:paraId="11F869E7" w14:textId="77777777" w:rsidR="003030BB" w:rsidRPr="003030BB" w:rsidRDefault="003030BB" w:rsidP="003030BB">
      <w:pPr>
        <w:pStyle w:val="ListParagraph"/>
        <w:tabs>
          <w:tab w:val="left" w:pos="3060"/>
        </w:tabs>
        <w:spacing w:after="150" w:line="300" w:lineRule="atLeast"/>
        <w:ind w:left="360"/>
        <w:rPr>
          <w:b/>
        </w:rPr>
      </w:pPr>
    </w:p>
    <w:p w14:paraId="36D5F463" w14:textId="2E627392" w:rsidR="00F26728" w:rsidRPr="003030BB" w:rsidRDefault="00F26728" w:rsidP="003030BB">
      <w:pPr>
        <w:tabs>
          <w:tab w:val="left" w:pos="3060"/>
        </w:tabs>
        <w:spacing w:after="150" w:line="300" w:lineRule="atLeast"/>
        <w:ind w:left="-270"/>
        <w:rPr>
          <w:b/>
        </w:rPr>
      </w:pPr>
      <w:r w:rsidRPr="003030BB">
        <w:rPr>
          <w:b/>
        </w:rPr>
        <w:t xml:space="preserve">Association of American Medical Colleges </w:t>
      </w:r>
      <w:proofErr w:type="spellStart"/>
      <w:r w:rsidRPr="003030BB">
        <w:rPr>
          <w:b/>
        </w:rPr>
        <w:t>Entrustable</w:t>
      </w:r>
      <w:proofErr w:type="spellEnd"/>
      <w:r w:rsidRPr="003030BB">
        <w:rPr>
          <w:b/>
        </w:rPr>
        <w:t xml:space="preserve"> Professional Activities Addressed</w:t>
      </w:r>
    </w:p>
    <w:p w14:paraId="61281190" w14:textId="77777777" w:rsidR="003030BB" w:rsidRDefault="00F26728" w:rsidP="003030BB">
      <w:pPr>
        <w:pStyle w:val="ListParagraph"/>
        <w:numPr>
          <w:ilvl w:val="0"/>
          <w:numId w:val="6"/>
        </w:numPr>
        <w:ind w:left="360"/>
      </w:pPr>
      <w:r w:rsidRPr="003030BB">
        <w:t>EPA 1: Gather a history and p</w:t>
      </w:r>
      <w:r w:rsidR="003030BB">
        <w:t>erform a physical examination </w:t>
      </w:r>
    </w:p>
    <w:p w14:paraId="736C302C" w14:textId="77777777" w:rsidR="003030BB" w:rsidRDefault="00F26728" w:rsidP="003030BB">
      <w:pPr>
        <w:pStyle w:val="ListParagraph"/>
        <w:numPr>
          <w:ilvl w:val="0"/>
          <w:numId w:val="6"/>
        </w:numPr>
        <w:ind w:left="360"/>
      </w:pPr>
      <w:r w:rsidRPr="003030BB">
        <w:t>EPA 2: Prioritize a differential diagnosis following a clinical encount</w:t>
      </w:r>
      <w:r w:rsidR="003030BB">
        <w:t>er </w:t>
      </w:r>
    </w:p>
    <w:p w14:paraId="45207606" w14:textId="77777777" w:rsidR="003030BB" w:rsidRDefault="00F26728" w:rsidP="003030BB">
      <w:pPr>
        <w:pStyle w:val="ListParagraph"/>
        <w:numPr>
          <w:ilvl w:val="0"/>
          <w:numId w:val="6"/>
        </w:numPr>
        <w:ind w:left="360"/>
      </w:pPr>
      <w:r w:rsidRPr="003030BB">
        <w:t>EPA 3: Recommend and interpret common d</w:t>
      </w:r>
      <w:r w:rsidR="003030BB">
        <w:t>iagnostic and screening tests </w:t>
      </w:r>
    </w:p>
    <w:p w14:paraId="1C7D983B" w14:textId="095CA25E" w:rsidR="00F26728" w:rsidRPr="003030BB" w:rsidRDefault="00F26728" w:rsidP="003030BB">
      <w:pPr>
        <w:pStyle w:val="ListParagraph"/>
        <w:numPr>
          <w:ilvl w:val="0"/>
          <w:numId w:val="6"/>
        </w:numPr>
        <w:ind w:left="360"/>
      </w:pPr>
      <w:r w:rsidRPr="003030BB">
        <w:t>EPA 10: Recognize a patient requiring urgent or emergent care and initiate evaluation and management</w:t>
      </w:r>
    </w:p>
    <w:p w14:paraId="7B53AE34" w14:textId="41CDAFFD" w:rsidR="00BF0A14" w:rsidRPr="003030BB" w:rsidRDefault="00BF0A14" w:rsidP="003030BB"/>
    <w:p w14:paraId="4413D5B7" w14:textId="77777777" w:rsidR="003030BB" w:rsidRDefault="003030BB" w:rsidP="003030BB">
      <w:pPr>
        <w:rPr>
          <w:b/>
        </w:rPr>
      </w:pPr>
    </w:p>
    <w:p w14:paraId="0772449C" w14:textId="6CC8EEC7" w:rsidR="003030BB" w:rsidRPr="003030BB" w:rsidRDefault="003030BB" w:rsidP="003030BB">
      <w:pPr>
        <w:ind w:left="-270"/>
        <w:rPr>
          <w:b/>
        </w:rPr>
      </w:pPr>
      <w:r w:rsidRPr="003030BB">
        <w:rPr>
          <w:b/>
        </w:rPr>
        <w:t>Program Content and Educational Methods</w:t>
      </w:r>
    </w:p>
    <w:p w14:paraId="4520A463" w14:textId="77777777" w:rsidR="000C0A34" w:rsidRDefault="003030BB" w:rsidP="003030BB">
      <w:pPr>
        <w:ind w:left="-270"/>
      </w:pPr>
      <w:r w:rsidRPr="003030BB">
        <w:t>On the 5th didactic day in the 5th week of the clerkship, a group of 10-16 students is divided into 4 "teams" in a classroom outfitted with white board. </w:t>
      </w:r>
      <w:r w:rsidRPr="003030BB">
        <w:br/>
      </w:r>
      <w:r w:rsidRPr="003030BB">
        <w:br/>
        <w:t xml:space="preserve">The group reads a patient case including a comprehensive history (HPI, past medical history, medications, social history, review of systems) about an </w:t>
      </w:r>
      <w:proofErr w:type="gramStart"/>
      <w:r w:rsidRPr="003030BB">
        <w:t>80 year old</w:t>
      </w:r>
      <w:proofErr w:type="gramEnd"/>
      <w:r w:rsidRPr="003030BB">
        <w:t xml:space="preserve"> female who is brought in by a family member concerned about change in mental status (</w:t>
      </w:r>
      <w:proofErr w:type="spellStart"/>
      <w:r w:rsidRPr="003030BB">
        <w:t>pg</w:t>
      </w:r>
      <w:proofErr w:type="spellEnd"/>
      <w:r w:rsidRPr="003030BB">
        <w:t xml:space="preserve"> 1 of "Geriatrics case" handout). </w:t>
      </w:r>
      <w:r w:rsidRPr="003030BB">
        <w:br/>
      </w:r>
      <w:r w:rsidRPr="003030BB">
        <w:br/>
        <w:t>In their small teams of 2-4, students generate a differential diagnosis, which the facilitator scribes on the white board. Part of this discussion includes distinction between dementia and delirium, and a broad listing of the causes of change of mental status in the elderly. The facilitator strategically scribes the possible causes in logical groupings on the board, e.g., infections, cancers, trauma. </w:t>
      </w:r>
      <w:r w:rsidRPr="003030BB">
        <w:br/>
      </w:r>
      <w:r w:rsidRPr="003030BB">
        <w:br/>
        <w:t>Next, each team generates 3 parts of the physical exam the team wishes to perform, with the intention of increasing or decreasing likelihood of items on the differential. These are also transcribed on the white board by the facilitator. The exam "findings" are given on paper ("physical exam" handout). Arrows up and down are marked on the white board next to differential diagnosis items based on the new inform</w:t>
      </w:r>
      <w:r w:rsidR="000C0A34">
        <w:t>ation from the physical exam. </w:t>
      </w:r>
      <w:r w:rsidR="000C0A34">
        <w:br/>
      </w:r>
    </w:p>
    <w:p w14:paraId="10903AEE" w14:textId="104F3353" w:rsidR="003030BB" w:rsidRDefault="003030BB" w:rsidP="003030BB">
      <w:pPr>
        <w:ind w:left="-270"/>
      </w:pPr>
      <w:r w:rsidRPr="003030BB">
        <w:t xml:space="preserve">Supportive materials are offered such as </w:t>
      </w:r>
      <w:proofErr w:type="spellStart"/>
      <w:r w:rsidRPr="003030BB">
        <w:t>MoCA</w:t>
      </w:r>
      <w:proofErr w:type="spellEnd"/>
      <w:r w:rsidRPr="003030BB">
        <w:t xml:space="preserve"> (</w:t>
      </w:r>
      <w:proofErr w:type="spellStart"/>
      <w:r w:rsidRPr="003030BB">
        <w:t>MoCA</w:t>
      </w:r>
      <w:proofErr w:type="spellEnd"/>
      <w:r w:rsidRPr="003030BB">
        <w:t xml:space="preserve"> handout). </w:t>
      </w:r>
      <w:r w:rsidRPr="003030BB">
        <w:br/>
      </w:r>
      <w:r w:rsidRPr="003030BB">
        <w:br/>
        <w:t>In teams, students "order" 3 labs or studies that they believe will help narrow the differential. Each team receives the "result" of the lab/study it ordered on an index card (name of lab on front, result on back). ("labs and EKG" handout) </w:t>
      </w:r>
      <w:r w:rsidRPr="003030BB">
        <w:br/>
      </w:r>
      <w:r w:rsidRPr="003030BB">
        <w:br/>
        <w:t>An EKG is read as a large group (ibid.). </w:t>
      </w:r>
      <w:r w:rsidRPr="003030BB">
        <w:br/>
      </w:r>
      <w:r w:rsidRPr="003030BB">
        <w:br/>
        <w:t>The physical exam and lab results turn out to support digoxin toxicity with EKG changes, dehydration, and acute on chronic renal failure. </w:t>
      </w:r>
      <w:r w:rsidRPr="003030BB">
        <w:br/>
      </w:r>
      <w:r w:rsidRPr="003030BB">
        <w:br/>
        <w:t>Next, in teams, students must sort the sequence of the pathophysiological events they believe took place. They hold up 5 cards (labeled A, B, C, D, E) in the order that represents their favored sequence. This is discussed as a large group and the right answer is given. (</w:t>
      </w:r>
      <w:proofErr w:type="spellStart"/>
      <w:r w:rsidRPr="003030BB">
        <w:t>pg</w:t>
      </w:r>
      <w:proofErr w:type="spellEnd"/>
      <w:r w:rsidRPr="003030BB">
        <w:t xml:space="preserve"> 2 of "Geriatrics case" handout) The key teaching point is that digoxin, with its narrow therapeutic window, was the root of the problem. It is not that the patient overdosed, but rather than she was likely on this drug for many years without dose reduction despite a changing metabolism with age. Her digoxin level implies a toxic dose, leading to acute on chronic renal failure, dehydration, nausea, delirium and EKG changes. </w:t>
      </w:r>
      <w:r w:rsidRPr="003030BB">
        <w:br/>
      </w:r>
      <w:r w:rsidRPr="003030BB">
        <w:br/>
        <w:t>Finally, a series of yes/no questions about management of this patient is posed to the teams, who each hold up a sign (A for yes, B for no) to answer the questions. (ibid.) Examples of questions are whether to hospitalize the patient (yes), whether to discontinue the digoxin (yes), whether to give IV fluids (yes), whether to consult nephrology (no). Large group discussion verifies the recommended answers. </w:t>
      </w:r>
      <w:r w:rsidRPr="003030BB">
        <w:br/>
      </w:r>
      <w:r w:rsidRPr="003030BB">
        <w:br/>
        <w:t>The facilitator concludes by mentioning Beer's criteria as a resource for care of the elderly and polypharmacy avoidance. </w:t>
      </w:r>
    </w:p>
    <w:p w14:paraId="6C359522" w14:textId="77777777" w:rsidR="003030BB" w:rsidRDefault="003030BB" w:rsidP="003030BB">
      <w:pPr>
        <w:ind w:left="-270"/>
      </w:pPr>
    </w:p>
    <w:p w14:paraId="6E28C584" w14:textId="77777777" w:rsidR="003030BB" w:rsidRDefault="003030BB" w:rsidP="003030BB">
      <w:pPr>
        <w:ind w:left="-270"/>
      </w:pPr>
      <w:r>
        <w:rPr>
          <w:b/>
        </w:rPr>
        <w:t>E</w:t>
      </w:r>
      <w:r w:rsidRPr="003030BB">
        <w:rPr>
          <w:b/>
        </w:rPr>
        <w:t xml:space="preserve">ducational methods in accordance with the National Clerkship Curriculum. </w:t>
      </w:r>
    </w:p>
    <w:p w14:paraId="5CD7484C" w14:textId="77777777" w:rsidR="003030BB" w:rsidRDefault="003030BB" w:rsidP="003030BB">
      <w:pPr>
        <w:pStyle w:val="ListParagraph"/>
        <w:numPr>
          <w:ilvl w:val="0"/>
          <w:numId w:val="8"/>
        </w:numPr>
      </w:pPr>
      <w:r w:rsidRPr="003030BB">
        <w:rPr>
          <w:rFonts w:ascii="Arial" w:hAnsi="Arial" w:cs="Arial"/>
          <w:color w:val="606060"/>
          <w:sz w:val="21"/>
          <w:szCs w:val="21"/>
        </w:rPr>
        <w:t>Small Group Sessions</w:t>
      </w:r>
    </w:p>
    <w:p w14:paraId="20EC1411" w14:textId="47AAF5E5" w:rsidR="003030BB" w:rsidRPr="000C0A34" w:rsidRDefault="003030BB" w:rsidP="00450D3A">
      <w:pPr>
        <w:pStyle w:val="ListParagraph"/>
        <w:numPr>
          <w:ilvl w:val="0"/>
          <w:numId w:val="8"/>
        </w:numPr>
      </w:pPr>
      <w:r w:rsidRPr="003030BB">
        <w:rPr>
          <w:rFonts w:ascii="Arial" w:hAnsi="Arial" w:cs="Arial"/>
          <w:color w:val="606060"/>
          <w:sz w:val="21"/>
          <w:szCs w:val="21"/>
        </w:rPr>
        <w:t xml:space="preserve">Case-Based </w:t>
      </w:r>
      <w:proofErr w:type="spellStart"/>
      <w:r w:rsidRPr="003030BB">
        <w:rPr>
          <w:rFonts w:ascii="Arial" w:hAnsi="Arial" w:cs="Arial"/>
          <w:color w:val="606060"/>
          <w:sz w:val="21"/>
          <w:szCs w:val="21"/>
        </w:rPr>
        <w:t>Learning</w:t>
      </w:r>
      <w:r w:rsidR="000C0A34">
        <w:rPr>
          <w:rFonts w:ascii="Arial" w:hAnsi="Arial" w:cs="Arial"/>
          <w:color w:val="606060"/>
          <w:sz w:val="21"/>
          <w:szCs w:val="21"/>
        </w:rPr>
        <w:t>z</w:t>
      </w:r>
      <w:proofErr w:type="spellEnd"/>
    </w:p>
    <w:p w14:paraId="4E69B0A8" w14:textId="77777777" w:rsidR="000C0A34" w:rsidRDefault="000C0A34" w:rsidP="000C0A34">
      <w:pPr>
        <w:pStyle w:val="ListParagraph"/>
        <w:ind w:left="450"/>
      </w:pPr>
    </w:p>
    <w:p w14:paraId="0FBDBA64" w14:textId="77777777" w:rsidR="00450D3A" w:rsidRDefault="003030BB" w:rsidP="00450D3A">
      <w:pPr>
        <w:ind w:left="-180" w:hanging="90"/>
        <w:rPr>
          <w:b/>
        </w:rPr>
      </w:pPr>
      <w:r w:rsidRPr="00450D3A">
        <w:rPr>
          <w:b/>
        </w:rPr>
        <w:t>Assessment Strategies to achieve outcomes</w:t>
      </w:r>
    </w:p>
    <w:p w14:paraId="4B20F2D6" w14:textId="77777777" w:rsidR="00450D3A" w:rsidRDefault="003030BB" w:rsidP="00450D3A">
      <w:pPr>
        <w:ind w:left="-180" w:hanging="90"/>
      </w:pPr>
      <w:r w:rsidRPr="003030BB">
        <w:t>Via direct observation, faculty facilitator assesses the medical know</w:t>
      </w:r>
      <w:r w:rsidR="00450D3A">
        <w:t>ledge, cognitive reasoning, and</w:t>
      </w:r>
    </w:p>
    <w:p w14:paraId="72885CEA" w14:textId="77777777" w:rsidR="00450D3A" w:rsidRDefault="003030BB" w:rsidP="00450D3A">
      <w:pPr>
        <w:ind w:left="-180" w:hanging="90"/>
      </w:pPr>
      <w:r w:rsidRPr="003030BB">
        <w:t>application of knowledge to the case. Facilitator also assesses the t</w:t>
      </w:r>
      <w:r w:rsidR="00450D3A">
        <w:t>eamwork skills of the students.</w:t>
      </w:r>
    </w:p>
    <w:p w14:paraId="57670269" w14:textId="74615EF0" w:rsidR="003030BB" w:rsidRDefault="003030BB" w:rsidP="00450D3A">
      <w:pPr>
        <w:ind w:left="-180" w:hanging="90"/>
      </w:pPr>
      <w:r w:rsidRPr="003030BB">
        <w:t>Finally, facilitator assesses whether students (in teams) correctly answered the questions.</w:t>
      </w:r>
    </w:p>
    <w:p w14:paraId="4CD0195E" w14:textId="6669FE64" w:rsidR="00450D3A" w:rsidRDefault="00450D3A" w:rsidP="00450D3A">
      <w:pPr>
        <w:pStyle w:val="ListParagraph"/>
        <w:numPr>
          <w:ilvl w:val="0"/>
          <w:numId w:val="9"/>
        </w:numPr>
      </w:pPr>
      <w:r w:rsidRPr="00450D3A">
        <w:t>Student Assessment &amp; Evaluation (Are your students learning?)</w:t>
      </w:r>
    </w:p>
    <w:p w14:paraId="00706AB4" w14:textId="73BA23C6" w:rsidR="00450D3A" w:rsidRDefault="00450D3A" w:rsidP="00450D3A">
      <w:pPr>
        <w:pStyle w:val="ListParagraph"/>
        <w:numPr>
          <w:ilvl w:val="0"/>
          <w:numId w:val="9"/>
        </w:numPr>
      </w:pPr>
      <w:r w:rsidRPr="00450D3A">
        <w:t>Overall Clerkship Evaluation &amp; Improvement (Is your clerkship meeting all of its objectives?)</w:t>
      </w:r>
    </w:p>
    <w:p w14:paraId="5D9DE7E2" w14:textId="77777777" w:rsidR="00450D3A" w:rsidRDefault="00450D3A" w:rsidP="00450D3A"/>
    <w:p w14:paraId="5068DC60" w14:textId="384B68C8" w:rsidR="00450D3A" w:rsidRDefault="00450D3A" w:rsidP="00450D3A">
      <w:pPr>
        <w:ind w:left="-270"/>
        <w:rPr>
          <w:rFonts w:ascii="Arial" w:hAnsi="Arial" w:cs="Arial"/>
          <w:color w:val="606060"/>
          <w:sz w:val="21"/>
          <w:szCs w:val="21"/>
        </w:rPr>
      </w:pPr>
      <w:r w:rsidRPr="00450D3A">
        <w:rPr>
          <w:rFonts w:cs="Arial"/>
          <w:b/>
          <w:color w:val="000000" w:themeColor="text1"/>
        </w:rPr>
        <w:t>Lessons Learned / Barriers / Facilitators to implementation: </w:t>
      </w:r>
      <w:r>
        <w:rPr>
          <w:rFonts w:ascii="Arial" w:hAnsi="Arial" w:cs="Arial"/>
          <w:color w:val="606060"/>
          <w:sz w:val="21"/>
          <w:szCs w:val="21"/>
        </w:rPr>
        <w:br/>
      </w:r>
    </w:p>
    <w:p w14:paraId="4970A3F6" w14:textId="67B1EB4F" w:rsidR="000C0A34" w:rsidRPr="000C0A34" w:rsidRDefault="00450D3A" w:rsidP="000C0A34">
      <w:pPr>
        <w:pStyle w:val="ListParagraph"/>
        <w:numPr>
          <w:ilvl w:val="0"/>
          <w:numId w:val="10"/>
        </w:numPr>
        <w:rPr>
          <w:b/>
        </w:rPr>
      </w:pPr>
      <w:r w:rsidRPr="00C4099B">
        <w:rPr>
          <w:rFonts w:cs="Arial"/>
          <w:color w:val="606060"/>
        </w:rPr>
        <w:t>This is a dense session in which multiple topics are covered (as some examples: delirium vs dementia, Mini Mental Status Exam (MMSE) vs Montreal Cognitive Assessment (</w:t>
      </w:r>
      <w:proofErr w:type="spellStart"/>
      <w:r w:rsidRPr="00C4099B">
        <w:rPr>
          <w:rFonts w:cs="Arial"/>
          <w:color w:val="606060"/>
        </w:rPr>
        <w:t>MoCA</w:t>
      </w:r>
      <w:proofErr w:type="spellEnd"/>
      <w:r w:rsidRPr="00C4099B">
        <w:rPr>
          <w:rFonts w:cs="Arial"/>
          <w:color w:val="606060"/>
        </w:rPr>
        <w:t>), differential diagnosis for change of mental status in the elderly, elderly abuse, polypharmacy, cost-effective lab ordering, effect of lab derangements in the elderly, mechanism of action of drugs, EKG reading, principles of admission to the hospital, treatment of heart failure, Beer's list of medications to avoid in elderly). Faculty facilitator needs to be knowledgeable on many of these details to successfully teach and answer student questions. Faculty facilitator also needs to be efficient and use effective classroom management skills to move swiftly through the session. </w:t>
      </w:r>
      <w:r w:rsidR="000C0A34">
        <w:rPr>
          <w:rFonts w:cs="Arial"/>
          <w:color w:val="606060"/>
        </w:rPr>
        <w:br/>
      </w:r>
    </w:p>
    <w:p w14:paraId="3FFF8BF6" w14:textId="77777777" w:rsidR="004D1628" w:rsidRPr="00C4099B" w:rsidRDefault="004D1628" w:rsidP="004D1628">
      <w:pPr>
        <w:pStyle w:val="ListParagraph"/>
        <w:ind w:left="450"/>
        <w:rPr>
          <w:b/>
        </w:rPr>
      </w:pPr>
    </w:p>
    <w:p w14:paraId="4EC05254" w14:textId="77777777" w:rsidR="00450D3A" w:rsidRPr="00C4099B" w:rsidRDefault="00450D3A" w:rsidP="00450D3A">
      <w:pPr>
        <w:pStyle w:val="ListParagraph"/>
        <w:numPr>
          <w:ilvl w:val="0"/>
          <w:numId w:val="10"/>
        </w:numPr>
        <w:rPr>
          <w:b/>
        </w:rPr>
      </w:pPr>
      <w:r w:rsidRPr="00C4099B">
        <w:rPr>
          <w:rFonts w:cs="Arial"/>
          <w:color w:val="606060"/>
        </w:rPr>
        <w:t>Team based learning approach needs clear explanation of the "rules" of engagement. </w:t>
      </w:r>
    </w:p>
    <w:p w14:paraId="1357E567" w14:textId="77777777" w:rsidR="00450D3A" w:rsidRPr="00C4099B" w:rsidRDefault="00450D3A" w:rsidP="00450D3A">
      <w:pPr>
        <w:pStyle w:val="ListParagraph"/>
        <w:ind w:left="450"/>
        <w:rPr>
          <w:b/>
        </w:rPr>
      </w:pPr>
    </w:p>
    <w:p w14:paraId="4F71FD20" w14:textId="77777777" w:rsidR="004D1628" w:rsidRPr="004D1628" w:rsidRDefault="00450D3A" w:rsidP="004D1628">
      <w:pPr>
        <w:pStyle w:val="ListParagraph"/>
        <w:numPr>
          <w:ilvl w:val="0"/>
          <w:numId w:val="10"/>
        </w:numPr>
        <w:rPr>
          <w:b/>
        </w:rPr>
      </w:pPr>
      <w:r w:rsidRPr="00C4099B">
        <w:rPr>
          <w:rFonts w:cs="Arial"/>
          <w:color w:val="606060"/>
        </w:rPr>
        <w:t>More structured and interactive design of the session allows students to remain engaged with the material and truly absorb the numerous learning points. </w:t>
      </w:r>
    </w:p>
    <w:p w14:paraId="5E0B71D6" w14:textId="77777777" w:rsidR="004D1628" w:rsidRPr="004D1628" w:rsidRDefault="004D1628" w:rsidP="004D1628">
      <w:pPr>
        <w:rPr>
          <w:rFonts w:cs="Arial"/>
          <w:color w:val="606060"/>
        </w:rPr>
      </w:pPr>
    </w:p>
    <w:p w14:paraId="5FDD1847" w14:textId="6308A76A" w:rsidR="00450D3A" w:rsidRPr="004D1628" w:rsidRDefault="00450D3A" w:rsidP="004D1628">
      <w:pPr>
        <w:pStyle w:val="ListParagraph"/>
        <w:numPr>
          <w:ilvl w:val="0"/>
          <w:numId w:val="10"/>
        </w:numPr>
        <w:rPr>
          <w:b/>
        </w:rPr>
      </w:pPr>
      <w:r w:rsidRPr="004D1628">
        <w:rPr>
          <w:rFonts w:cs="Arial"/>
          <w:color w:val="606060"/>
        </w:rPr>
        <w:t>Some questions are designed deliberately a bit vaguely to inspire thinking and rich discussion. Even where there may be grey areas for what could be done clinically, students often prefer one "right" answer! </w:t>
      </w:r>
    </w:p>
    <w:p w14:paraId="21FE7E64" w14:textId="77777777" w:rsidR="00450D3A" w:rsidRPr="00450D3A" w:rsidRDefault="00450D3A" w:rsidP="00450D3A">
      <w:pPr>
        <w:ind w:left="-180" w:hanging="90"/>
        <w:rPr>
          <w:b/>
        </w:rPr>
      </w:pPr>
    </w:p>
    <w:p w14:paraId="3E912F65" w14:textId="77777777" w:rsidR="00225F26" w:rsidRPr="00C4099B" w:rsidRDefault="00450D3A" w:rsidP="00225F26">
      <w:pPr>
        <w:shd w:val="clear" w:color="auto" w:fill="FFFFFF"/>
        <w:ind w:left="-270" w:firstLine="90"/>
        <w:rPr>
          <w:rFonts w:eastAsia="Times New Roman" w:cs="Arial"/>
          <w:color w:val="606060"/>
        </w:rPr>
      </w:pPr>
      <w:r w:rsidRPr="00C4099B">
        <w:rPr>
          <w:rFonts w:eastAsia="Times New Roman" w:cs="Arial"/>
          <w:b/>
          <w:bCs/>
          <w:color w:val="606060"/>
        </w:rPr>
        <w:t>Explanation of Appendices</w:t>
      </w:r>
      <w:r w:rsidR="00BF0A14" w:rsidRPr="00C4099B">
        <w:rPr>
          <w:rFonts w:eastAsia="Times New Roman" w:cs="Arial"/>
          <w:color w:val="606060"/>
        </w:rPr>
        <w:t>  </w:t>
      </w:r>
    </w:p>
    <w:p w14:paraId="1FDB2BA4" w14:textId="77777777" w:rsidR="00C4099B" w:rsidRPr="00C4099B" w:rsidRDefault="00225F26" w:rsidP="00C4099B">
      <w:pPr>
        <w:shd w:val="clear" w:color="auto" w:fill="FFFFFF"/>
        <w:ind w:left="-270" w:firstLine="90"/>
      </w:pPr>
      <w:r w:rsidRPr="00C4099B">
        <w:t>Allot 60-75 minutes for the whole session. </w:t>
      </w:r>
    </w:p>
    <w:p w14:paraId="75553D36" w14:textId="77777777" w:rsidR="00C4099B" w:rsidRPr="00C4099B" w:rsidRDefault="00C4099B" w:rsidP="00C4099B">
      <w:pPr>
        <w:pStyle w:val="ListParagraph"/>
        <w:numPr>
          <w:ilvl w:val="0"/>
          <w:numId w:val="11"/>
        </w:numPr>
        <w:shd w:val="clear" w:color="auto" w:fill="FFFFFF"/>
      </w:pPr>
      <w:r w:rsidRPr="00C4099B">
        <w:rPr>
          <w:rFonts w:cs="Times New Roman"/>
          <w:color w:val="000000"/>
        </w:rPr>
        <w:t>5 minutes: read the case (1st pa</w:t>
      </w:r>
      <w:r>
        <w:rPr>
          <w:rFonts w:cs="Times New Roman"/>
          <w:color w:val="000000"/>
        </w:rPr>
        <w:t>ragraph aloud, rest silently) </w:t>
      </w:r>
    </w:p>
    <w:p w14:paraId="703C2177" w14:textId="77777777" w:rsidR="00C4099B" w:rsidRPr="00C4099B" w:rsidRDefault="00C4099B" w:rsidP="00C4099B">
      <w:pPr>
        <w:pStyle w:val="ListParagraph"/>
        <w:numPr>
          <w:ilvl w:val="0"/>
          <w:numId w:val="11"/>
        </w:numPr>
        <w:shd w:val="clear" w:color="auto" w:fill="FFFFFF"/>
      </w:pPr>
      <w:r w:rsidRPr="00C4099B">
        <w:rPr>
          <w:rFonts w:cs="Times New Roman"/>
          <w:color w:val="000000"/>
        </w:rPr>
        <w:t>10-15 minutes: large group differenti</w:t>
      </w:r>
      <w:r>
        <w:rPr>
          <w:rFonts w:cs="Times New Roman"/>
          <w:color w:val="000000"/>
        </w:rPr>
        <w:t>al diagnosis (write on board) </w:t>
      </w:r>
    </w:p>
    <w:p w14:paraId="6AB06114" w14:textId="77777777" w:rsidR="00C4099B" w:rsidRPr="00C4099B" w:rsidRDefault="00C4099B" w:rsidP="00C4099B">
      <w:pPr>
        <w:pStyle w:val="ListParagraph"/>
        <w:numPr>
          <w:ilvl w:val="0"/>
          <w:numId w:val="11"/>
        </w:numPr>
        <w:shd w:val="clear" w:color="auto" w:fill="FFFFFF"/>
      </w:pPr>
      <w:r w:rsidRPr="00C4099B">
        <w:rPr>
          <w:rFonts w:cs="Times New Roman"/>
          <w:color w:val="000000"/>
        </w:rPr>
        <w:t>10-15 minutes: physical exam idea generation, group discussion, and raise/</w:t>
      </w:r>
      <w:r>
        <w:rPr>
          <w:rFonts w:cs="Times New Roman"/>
          <w:color w:val="000000"/>
        </w:rPr>
        <w:t xml:space="preserve">lower likelihood of </w:t>
      </w:r>
      <w:proofErr w:type="spellStart"/>
      <w:r>
        <w:rPr>
          <w:rFonts w:cs="Times New Roman"/>
          <w:color w:val="000000"/>
        </w:rPr>
        <w:t>DDx</w:t>
      </w:r>
      <w:proofErr w:type="spellEnd"/>
      <w:r>
        <w:rPr>
          <w:rFonts w:cs="Times New Roman"/>
          <w:color w:val="000000"/>
        </w:rPr>
        <w:t xml:space="preserve"> items </w:t>
      </w:r>
    </w:p>
    <w:p w14:paraId="7F4872FB" w14:textId="77777777" w:rsidR="00C4099B" w:rsidRPr="00C4099B" w:rsidRDefault="00C4099B" w:rsidP="00C4099B">
      <w:pPr>
        <w:pStyle w:val="ListParagraph"/>
        <w:numPr>
          <w:ilvl w:val="0"/>
          <w:numId w:val="11"/>
        </w:numPr>
        <w:shd w:val="clear" w:color="auto" w:fill="FFFFFF"/>
      </w:pPr>
      <w:r w:rsidRPr="00C4099B">
        <w:rPr>
          <w:rFonts w:cs="Times New Roman"/>
          <w:color w:val="000000"/>
        </w:rPr>
        <w:t>10-15 minutes: lab idea generation, give answers, group discussion, and raise/</w:t>
      </w:r>
      <w:r>
        <w:rPr>
          <w:rFonts w:cs="Times New Roman"/>
          <w:color w:val="000000"/>
        </w:rPr>
        <w:t xml:space="preserve">lower likelihood of </w:t>
      </w:r>
      <w:proofErr w:type="spellStart"/>
      <w:r>
        <w:rPr>
          <w:rFonts w:cs="Times New Roman"/>
          <w:color w:val="000000"/>
        </w:rPr>
        <w:t>DDx</w:t>
      </w:r>
      <w:proofErr w:type="spellEnd"/>
      <w:r>
        <w:rPr>
          <w:rFonts w:cs="Times New Roman"/>
          <w:color w:val="000000"/>
        </w:rPr>
        <w:t xml:space="preserve"> items </w:t>
      </w:r>
    </w:p>
    <w:p w14:paraId="0C72BD74" w14:textId="77777777" w:rsidR="00C4099B" w:rsidRPr="00C4099B" w:rsidRDefault="00C4099B" w:rsidP="00C4099B">
      <w:pPr>
        <w:pStyle w:val="ListParagraph"/>
        <w:numPr>
          <w:ilvl w:val="0"/>
          <w:numId w:val="11"/>
        </w:numPr>
        <w:shd w:val="clear" w:color="auto" w:fill="FFFFFF"/>
      </w:pPr>
      <w:r w:rsidRPr="00C4099B">
        <w:rPr>
          <w:rFonts w:cs="Times New Roman"/>
          <w:color w:val="000000"/>
        </w:rPr>
        <w:t>10-15 minutes: put the 5 events in order in</w:t>
      </w:r>
      <w:r>
        <w:rPr>
          <w:rFonts w:cs="Times New Roman"/>
          <w:color w:val="000000"/>
        </w:rPr>
        <w:t xml:space="preserve"> teams, then discuss as group </w:t>
      </w:r>
    </w:p>
    <w:p w14:paraId="2E7ADAF4" w14:textId="77777777" w:rsidR="00106C80" w:rsidRPr="00106C80" w:rsidRDefault="00C4099B" w:rsidP="000C0A34">
      <w:pPr>
        <w:pStyle w:val="ListParagraph"/>
        <w:numPr>
          <w:ilvl w:val="0"/>
          <w:numId w:val="11"/>
        </w:numPr>
        <w:shd w:val="clear" w:color="auto" w:fill="FFFFFF"/>
      </w:pPr>
      <w:r w:rsidRPr="00C4099B">
        <w:rPr>
          <w:rFonts w:cs="Times New Roman"/>
          <w:color w:val="000000"/>
        </w:rPr>
        <w:t>10-15 minutes: yes/no questions as teams, with faculty giving right answers throughout</w:t>
      </w:r>
      <w:r w:rsidR="00225F26" w:rsidRPr="00225F26">
        <w:br/>
      </w:r>
      <w:r w:rsidR="00225F26" w:rsidRPr="00225F26">
        <w:br/>
      </w:r>
      <w:r w:rsidR="00225F26" w:rsidRPr="004D1628">
        <w:rPr>
          <w:b/>
        </w:rPr>
        <w:t xml:space="preserve">Appendix A ("geriatrics case"): </w:t>
      </w:r>
      <w:r w:rsidR="00225F26" w:rsidRPr="00225F26">
        <w:t xml:space="preserve">Case of Alma Pierce - history. Distribute at start of case. Orient students to the Team Based Learning concept and the plan for the session. Divide students in 4 teams. Use the white board to list the </w:t>
      </w:r>
      <w:proofErr w:type="spellStart"/>
      <w:r w:rsidR="00225F26" w:rsidRPr="00225F26">
        <w:t>DDx</w:t>
      </w:r>
      <w:proofErr w:type="spellEnd"/>
      <w:r w:rsidR="00225F26" w:rsidRPr="00225F26">
        <w:t xml:space="preserve"> items that students as a large group call out. Use VINDICATE or other mnemonic to organize </w:t>
      </w:r>
      <w:proofErr w:type="spellStart"/>
      <w:r w:rsidR="00225F26" w:rsidRPr="00225F26">
        <w:t>DDx</w:t>
      </w:r>
      <w:proofErr w:type="spellEnd"/>
      <w:r w:rsidR="00225F26" w:rsidRPr="00225F26">
        <w:t xml:space="preserve"> discussion. </w:t>
      </w:r>
      <w:r w:rsidR="00225F26" w:rsidRPr="00225F26">
        <w:br/>
      </w:r>
      <w:r w:rsidR="00225F26" w:rsidRPr="00225F26">
        <w:br/>
      </w:r>
      <w:r w:rsidR="00225F26" w:rsidRPr="004D1628">
        <w:rPr>
          <w:b/>
        </w:rPr>
        <w:t>Appendix B</w:t>
      </w:r>
      <w:r w:rsidR="00225F26" w:rsidRPr="00225F26">
        <w:t xml:space="preserve"> is the facilitator guide version (with answers). </w:t>
      </w:r>
      <w:r w:rsidR="00225F26" w:rsidRPr="00225F26">
        <w:br/>
      </w:r>
      <w:r w:rsidR="00225F26" w:rsidRPr="00225F26">
        <w:br/>
      </w:r>
      <w:r w:rsidR="00225F26" w:rsidRPr="004D1628">
        <w:rPr>
          <w:b/>
        </w:rPr>
        <w:t>Appendix C</w:t>
      </w:r>
      <w:r w:rsidR="00225F26" w:rsidRPr="00225F26">
        <w:t xml:space="preserve"> ("physical exam"): physical exam findings. Hand this out AFTER teams commit to 3 physical exam pieces they wish to perform (using the </w:t>
      </w:r>
      <w:proofErr w:type="spellStart"/>
      <w:r w:rsidR="00225F26" w:rsidRPr="00225F26">
        <w:t>DDx</w:t>
      </w:r>
      <w:proofErr w:type="spellEnd"/>
      <w:r w:rsidR="00225F26" w:rsidRPr="00225F26">
        <w:t xml:space="preserve"> on the board as a guide). First, write the 3 exams each team wants on the board (no repeating). After </w:t>
      </w:r>
      <w:proofErr w:type="gramStart"/>
      <w:r w:rsidR="00225F26" w:rsidRPr="00225F26">
        <w:t>all</w:t>
      </w:r>
      <w:proofErr w:type="gramEnd"/>
      <w:r w:rsidR="00225F26" w:rsidRPr="00225F26">
        <w:t xml:space="preserve"> 4 teams report, distribute handout. Have whichever team asked for vital signs report anything notable (pertinent positive or negative) about vitals; have team who asked for ENT exam report pertinent ENT findings, etc. For instance, it is notable that the patient did not lose weight; lowers likelihood of malignancy. She is afebrile; lowers likelihood of (but doesn't eliminate) infection. Notable that she is hypotensive relative to her likely baseline; raises likelihood of being dehydrated. And onwards... </w:t>
      </w:r>
      <w:r w:rsidR="00225F26" w:rsidRPr="00225F26">
        <w:br/>
      </w:r>
      <w:r w:rsidR="00225F26" w:rsidRPr="00225F26">
        <w:br/>
      </w:r>
      <w:r w:rsidR="00225F26" w:rsidRPr="004D1628">
        <w:rPr>
          <w:b/>
        </w:rPr>
        <w:t>Appendix D</w:t>
      </w:r>
      <w:r w:rsidR="00225F26" w:rsidRPr="00225F26">
        <w:t xml:space="preserve"> ("</w:t>
      </w:r>
      <w:proofErr w:type="spellStart"/>
      <w:r w:rsidR="00225F26" w:rsidRPr="00225F26">
        <w:t>MoCA</w:t>
      </w:r>
      <w:proofErr w:type="spellEnd"/>
      <w:r w:rsidR="00225F26" w:rsidRPr="00225F26">
        <w:t xml:space="preserve">"): Discuss </w:t>
      </w:r>
      <w:proofErr w:type="spellStart"/>
      <w:r w:rsidR="00225F26" w:rsidRPr="00225F26">
        <w:t>MoCA</w:t>
      </w:r>
      <w:proofErr w:type="spellEnd"/>
      <w:r w:rsidR="00225F26" w:rsidRPr="00225F26">
        <w:t xml:space="preserve"> as new standard of care when students ask for </w:t>
      </w:r>
      <w:proofErr w:type="spellStart"/>
      <w:r w:rsidR="00225F26" w:rsidRPr="00225F26">
        <w:t>MoCA</w:t>
      </w:r>
      <w:proofErr w:type="spellEnd"/>
      <w:r w:rsidR="00225F26" w:rsidRPr="00225F26">
        <w:t>, MMSE, or cognitive exam. Point out features of handout. </w:t>
      </w:r>
      <w:r w:rsidR="00225F26" w:rsidRPr="00225F26">
        <w:br/>
      </w:r>
      <w:r w:rsidR="00225F26" w:rsidRPr="00225F26">
        <w:br/>
      </w:r>
      <w:r w:rsidR="00225F26" w:rsidRPr="004D1628">
        <w:rPr>
          <w:b/>
        </w:rPr>
        <w:t>Appendix E</w:t>
      </w:r>
      <w:r w:rsidR="00225F26" w:rsidRPr="00225F26">
        <w:t xml:space="preserve"> ("labs"): Index cards with labs on front and results on back. (The handout will need to be turned into index cards at your site. Put the name of the lab (</w:t>
      </w:r>
      <w:proofErr w:type="spellStart"/>
      <w:r w:rsidR="00225F26" w:rsidRPr="00225F26">
        <w:t>e.g</w:t>
      </w:r>
      <w:proofErr w:type="spellEnd"/>
      <w:r w:rsidR="00225F26" w:rsidRPr="00225F26">
        <w:t>, potassium) on the front, and the value on the back. Give appropriate cards to whichever team "ordered" a particular lab. When students ask for electrolytes, the "results" are on the back, without normal ranges. When students ask for head CT, the back of the card says "CT scan scheduled for next week." Over time we created many more cards based on student "orders" including imaging, vitamin B12, RPR, ESR, lead level, Lyme, etc. </w:t>
      </w:r>
      <w:r w:rsidR="00225F26" w:rsidRPr="00225F26">
        <w:br/>
        <w:t>Distribute EKG and have the team that "ordered" it start to read it aloud. Review with the large group how to read an EKG (briefly). </w:t>
      </w:r>
    </w:p>
    <w:p w14:paraId="25F731BC" w14:textId="77777777" w:rsidR="00106C80" w:rsidRDefault="00106C80" w:rsidP="00106C80">
      <w:pPr>
        <w:pStyle w:val="ListParagraph"/>
        <w:shd w:val="clear" w:color="auto" w:fill="FFFFFF"/>
        <w:ind w:left="540"/>
        <w:rPr>
          <w:b/>
        </w:rPr>
      </w:pPr>
    </w:p>
    <w:p w14:paraId="3AA46A7A" w14:textId="77777777" w:rsidR="00106C80" w:rsidRDefault="00225F26" w:rsidP="00106C80">
      <w:pPr>
        <w:pStyle w:val="ListParagraph"/>
        <w:shd w:val="clear" w:color="auto" w:fill="FFFFFF"/>
        <w:ind w:left="540"/>
        <w:rPr>
          <w:b/>
        </w:rPr>
      </w:pPr>
      <w:r w:rsidRPr="00225F26">
        <w:t>Given the sequence of 5 events, teams must put these events in order. Give the teams a couple of minutes. When ready, have each team justify to the large group their chosen sequence. Before revealing the correct answer, discuss why patient is on digoxin, its mechanism, consequences/symptoms of toxicity. Reveal correct sequence and lead discussion. </w:t>
      </w:r>
      <w:r w:rsidRPr="00225F26">
        <w:br/>
      </w:r>
    </w:p>
    <w:p w14:paraId="64DDB505" w14:textId="50959EEA" w:rsidR="00225F26" w:rsidRPr="004D1628" w:rsidRDefault="00225F26" w:rsidP="00106C80">
      <w:pPr>
        <w:pStyle w:val="ListParagraph"/>
        <w:shd w:val="clear" w:color="auto" w:fill="FFFFFF"/>
        <w:ind w:left="540"/>
      </w:pPr>
      <w:r w:rsidRPr="00225F26">
        <w:t>Read each yes/no question. Have teams hold up A for yes and B for no for each question one by one. Give right answer for each and discuss as appropriate. </w:t>
      </w:r>
      <w:r w:rsidRPr="00225F26">
        <w:br/>
      </w:r>
      <w:r w:rsidRPr="00225F26">
        <w:br/>
        <w:t>Note: We distribute a packet with all materials together (except for physical exam findings, labs (on index cards) and EKG) at start of session. The physical exam paper, the labs on cards, and the EKG are given at the appropriate time during the session.</w:t>
      </w:r>
    </w:p>
    <w:p w14:paraId="7F801F16" w14:textId="4162BC1D" w:rsidR="00C4099B" w:rsidRDefault="00C4099B" w:rsidP="00BF0A14">
      <w:pPr>
        <w:shd w:val="clear" w:color="auto" w:fill="FFFFFF"/>
        <w:rPr>
          <w:rFonts w:ascii="Arial" w:eastAsia="Times New Roman" w:hAnsi="Arial" w:cs="Arial"/>
          <w:color w:val="606060"/>
          <w:sz w:val="21"/>
          <w:szCs w:val="21"/>
        </w:rPr>
      </w:pPr>
    </w:p>
    <w:p w14:paraId="6E3FA886" w14:textId="47389383" w:rsidR="00BF0A14" w:rsidRPr="00C4099B" w:rsidRDefault="00BF0A14" w:rsidP="00C4099B">
      <w:pPr>
        <w:ind w:left="-180"/>
        <w:rPr>
          <w:b/>
        </w:rPr>
      </w:pPr>
      <w:r w:rsidRPr="00C4099B">
        <w:br/>
      </w:r>
      <w:r w:rsidR="00C4099B" w:rsidRPr="00C4099B">
        <w:rPr>
          <w:b/>
        </w:rPr>
        <w:t>References:</w:t>
      </w:r>
      <w:r w:rsidRPr="00C4099B">
        <w:rPr>
          <w:b/>
        </w:rPr>
        <w:t> </w:t>
      </w:r>
    </w:p>
    <w:p w14:paraId="01F9A58D" w14:textId="129C05F5" w:rsidR="00BF0A14" w:rsidRPr="009B71DD" w:rsidRDefault="00EE1891" w:rsidP="009B71DD">
      <w:pPr>
        <w:rPr>
          <w:rFonts w:ascii="Times New Roman" w:eastAsia="Times New Roman" w:hAnsi="Times New Roman" w:cs="Times New Roman"/>
        </w:rPr>
      </w:pPr>
      <w:r w:rsidRPr="00EE1891">
        <w:rPr>
          <w:rFonts w:ascii="Times New Roman" w:eastAsia="Times New Roman" w:hAnsi="Times New Roman" w:cs="Times New Roman"/>
        </w:rPr>
        <w:t xml:space="preserve">1. </w:t>
      </w:r>
      <w:proofErr w:type="spellStart"/>
      <w:r w:rsidRPr="00EE1891">
        <w:rPr>
          <w:rFonts w:ascii="Times New Roman" w:eastAsia="Times New Roman" w:hAnsi="Times New Roman" w:cs="Times New Roman"/>
        </w:rPr>
        <w:t>Hitzeman</w:t>
      </w:r>
      <w:proofErr w:type="spellEnd"/>
      <w:r w:rsidRPr="00EE1891">
        <w:rPr>
          <w:rFonts w:ascii="Times New Roman" w:eastAsia="Times New Roman" w:hAnsi="Times New Roman" w:cs="Times New Roman"/>
        </w:rPr>
        <w:t xml:space="preserve"> N, </w:t>
      </w:r>
      <w:proofErr w:type="spellStart"/>
      <w:r w:rsidRPr="00EE1891">
        <w:rPr>
          <w:rFonts w:ascii="Times New Roman" w:eastAsia="Times New Roman" w:hAnsi="Times New Roman" w:cs="Times New Roman"/>
        </w:rPr>
        <w:t>Belsky</w:t>
      </w:r>
      <w:proofErr w:type="spellEnd"/>
      <w:r w:rsidRPr="00EE1891">
        <w:rPr>
          <w:rFonts w:ascii="Times New Roman" w:eastAsia="Times New Roman" w:hAnsi="Times New Roman" w:cs="Times New Roman"/>
        </w:rPr>
        <w:t xml:space="preserve"> K. Appropriate use of polypharmacy for older patients. Am Fam Physician. 2013;87(7):483-484.</w:t>
      </w:r>
      <w:r w:rsidRPr="00EE1891">
        <w:rPr>
          <w:rFonts w:ascii="Times New Roman" w:eastAsia="Times New Roman" w:hAnsi="Times New Roman" w:cs="Times New Roman"/>
        </w:rPr>
        <w:br/>
        <w:t xml:space="preserve">2. Pretorius RW, </w:t>
      </w:r>
      <w:proofErr w:type="spellStart"/>
      <w:r w:rsidRPr="00EE1891">
        <w:rPr>
          <w:rFonts w:ascii="Times New Roman" w:eastAsia="Times New Roman" w:hAnsi="Times New Roman" w:cs="Times New Roman"/>
        </w:rPr>
        <w:t>Gataric</w:t>
      </w:r>
      <w:proofErr w:type="spellEnd"/>
      <w:r w:rsidRPr="00EE1891">
        <w:rPr>
          <w:rFonts w:ascii="Times New Roman" w:eastAsia="Times New Roman" w:hAnsi="Times New Roman" w:cs="Times New Roman"/>
        </w:rPr>
        <w:t xml:space="preserve"> G, </w:t>
      </w:r>
      <w:proofErr w:type="spellStart"/>
      <w:r w:rsidRPr="00EE1891">
        <w:rPr>
          <w:rFonts w:ascii="Times New Roman" w:eastAsia="Times New Roman" w:hAnsi="Times New Roman" w:cs="Times New Roman"/>
        </w:rPr>
        <w:t>Swedlund</w:t>
      </w:r>
      <w:proofErr w:type="spellEnd"/>
      <w:r w:rsidRPr="00EE1891">
        <w:rPr>
          <w:rFonts w:ascii="Times New Roman" w:eastAsia="Times New Roman" w:hAnsi="Times New Roman" w:cs="Times New Roman"/>
        </w:rPr>
        <w:t xml:space="preserve"> SK, Miller JR. Reducing the risk of adverse drug events in older adults. Am Fam Physician. 2013;87(5):331-336. </w:t>
      </w:r>
      <w:r w:rsidRPr="00EE1891">
        <w:rPr>
          <w:rFonts w:ascii="Times New Roman" w:eastAsia="Times New Roman" w:hAnsi="Times New Roman" w:cs="Times New Roman"/>
        </w:rPr>
        <w:br/>
        <w:t xml:space="preserve">3. </w:t>
      </w:r>
      <w:proofErr w:type="spellStart"/>
      <w:r w:rsidRPr="00EE1891">
        <w:rPr>
          <w:rFonts w:ascii="Times New Roman" w:eastAsia="Times New Roman" w:hAnsi="Times New Roman" w:cs="Times New Roman"/>
        </w:rPr>
        <w:t>Kalish</w:t>
      </w:r>
      <w:proofErr w:type="spellEnd"/>
      <w:r w:rsidRPr="00EE1891">
        <w:rPr>
          <w:rFonts w:ascii="Times New Roman" w:eastAsia="Times New Roman" w:hAnsi="Times New Roman" w:cs="Times New Roman"/>
        </w:rPr>
        <w:t xml:space="preserve"> VB, Gillham JE, Unwin BK. Delirium in older persons: evaluation and management. Am Fam Physician. 2014;90(3):150-158.</w:t>
      </w:r>
      <w:r w:rsidR="00BF0A14" w:rsidRPr="00BF0A14">
        <w:rPr>
          <w:rFonts w:ascii="Arial" w:eastAsia="Times New Roman" w:hAnsi="Arial" w:cs="Arial"/>
          <w:color w:val="606060"/>
          <w:sz w:val="21"/>
          <w:szCs w:val="21"/>
        </w:rPr>
        <w:t> </w:t>
      </w:r>
      <w:r w:rsidR="00BF0A14" w:rsidRPr="00BF0A14">
        <w:rPr>
          <w:rFonts w:ascii="Arial" w:eastAsia="Times New Roman" w:hAnsi="Arial" w:cs="Arial"/>
          <w:color w:val="606060"/>
          <w:sz w:val="21"/>
          <w:szCs w:val="21"/>
        </w:rPr>
        <w:br w:type="textWrapping" w:clear="all"/>
        <w:t>  </w:t>
      </w:r>
    </w:p>
    <w:p w14:paraId="6150B92F" w14:textId="77777777" w:rsidR="00997DD3" w:rsidRDefault="00EC2126"/>
    <w:sectPr w:rsidR="00997DD3" w:rsidSect="000C0A3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DD3"/>
    <w:multiLevelType w:val="hybridMultilevel"/>
    <w:tmpl w:val="9BCA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61CA9"/>
    <w:multiLevelType w:val="hybridMultilevel"/>
    <w:tmpl w:val="7E3C54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14F7EC5"/>
    <w:multiLevelType w:val="hybridMultilevel"/>
    <w:tmpl w:val="5E0099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2154529"/>
    <w:multiLevelType w:val="hybridMultilevel"/>
    <w:tmpl w:val="4120F0EA"/>
    <w:lvl w:ilvl="0" w:tplc="0E36924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313047CD"/>
    <w:multiLevelType w:val="hybridMultilevel"/>
    <w:tmpl w:val="9AE26D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B7E058E"/>
    <w:multiLevelType w:val="hybridMultilevel"/>
    <w:tmpl w:val="80A0E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A830A7"/>
    <w:multiLevelType w:val="multilevel"/>
    <w:tmpl w:val="4112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A3489"/>
    <w:multiLevelType w:val="hybridMultilevel"/>
    <w:tmpl w:val="600640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DA32F1A"/>
    <w:multiLevelType w:val="hybridMultilevel"/>
    <w:tmpl w:val="4ED4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71CEC"/>
    <w:multiLevelType w:val="hybridMultilevel"/>
    <w:tmpl w:val="92B46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9041336"/>
    <w:multiLevelType w:val="hybridMultilevel"/>
    <w:tmpl w:val="4378D5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6C803434"/>
    <w:multiLevelType w:val="hybridMultilevel"/>
    <w:tmpl w:val="C85A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8"/>
  </w:num>
  <w:num w:numId="5">
    <w:abstractNumId w:val="5"/>
  </w:num>
  <w:num w:numId="6">
    <w:abstractNumId w:val="0"/>
  </w:num>
  <w:num w:numId="7">
    <w:abstractNumId w:val="9"/>
  </w:num>
  <w:num w:numId="8">
    <w:abstractNumId w:val="1"/>
  </w:num>
  <w:num w:numId="9">
    <w:abstractNumId w:val="7"/>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14"/>
    <w:rsid w:val="000C0A34"/>
    <w:rsid w:val="00106C80"/>
    <w:rsid w:val="00225F26"/>
    <w:rsid w:val="003030BB"/>
    <w:rsid w:val="00352225"/>
    <w:rsid w:val="003E3B86"/>
    <w:rsid w:val="00450D3A"/>
    <w:rsid w:val="004C19C3"/>
    <w:rsid w:val="004D1628"/>
    <w:rsid w:val="00550FAC"/>
    <w:rsid w:val="005A4E91"/>
    <w:rsid w:val="005C5B56"/>
    <w:rsid w:val="0076393F"/>
    <w:rsid w:val="00883B58"/>
    <w:rsid w:val="009B71DD"/>
    <w:rsid w:val="00AE1D08"/>
    <w:rsid w:val="00B550E4"/>
    <w:rsid w:val="00BF0A14"/>
    <w:rsid w:val="00C4099B"/>
    <w:rsid w:val="00C9139D"/>
    <w:rsid w:val="00EC2126"/>
    <w:rsid w:val="00EE1891"/>
    <w:rsid w:val="00F2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72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F0A1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0A14"/>
    <w:rPr>
      <w:rFonts w:ascii="Times New Roman" w:hAnsi="Times New Roman" w:cs="Times New Roman"/>
      <w:b/>
      <w:bCs/>
      <w:sz w:val="27"/>
      <w:szCs w:val="27"/>
    </w:rPr>
  </w:style>
  <w:style w:type="character" w:styleId="Strong">
    <w:name w:val="Strong"/>
    <w:basedOn w:val="DefaultParagraphFont"/>
    <w:uiPriority w:val="22"/>
    <w:qFormat/>
    <w:rsid w:val="00BF0A14"/>
    <w:rPr>
      <w:b/>
      <w:bCs/>
    </w:rPr>
  </w:style>
  <w:style w:type="paragraph" w:styleId="NormalWeb">
    <w:name w:val="Normal (Web)"/>
    <w:basedOn w:val="Normal"/>
    <w:uiPriority w:val="99"/>
    <w:semiHidden/>
    <w:unhideWhenUsed/>
    <w:rsid w:val="00BF0A14"/>
    <w:pPr>
      <w:spacing w:before="100" w:beforeAutospacing="1" w:after="100" w:afterAutospacing="1"/>
    </w:pPr>
    <w:rPr>
      <w:rFonts w:ascii="Times New Roman" w:hAnsi="Times New Roman" w:cs="Times New Roman"/>
    </w:rPr>
  </w:style>
  <w:style w:type="character" w:customStyle="1" w:styleId="pagecontents">
    <w:name w:val="pagecontents"/>
    <w:basedOn w:val="DefaultParagraphFont"/>
    <w:rsid w:val="00BF0A14"/>
  </w:style>
  <w:style w:type="character" w:customStyle="1" w:styleId="required">
    <w:name w:val="required"/>
    <w:basedOn w:val="DefaultParagraphFont"/>
    <w:rsid w:val="00BF0A14"/>
  </w:style>
  <w:style w:type="character" w:styleId="Hyperlink">
    <w:name w:val="Hyperlink"/>
    <w:basedOn w:val="DefaultParagraphFont"/>
    <w:uiPriority w:val="99"/>
    <w:unhideWhenUsed/>
    <w:rsid w:val="00BF0A14"/>
    <w:rPr>
      <w:color w:val="0000FF"/>
      <w:u w:val="single"/>
    </w:rPr>
  </w:style>
  <w:style w:type="paragraph" w:styleId="ListParagraph">
    <w:name w:val="List Paragraph"/>
    <w:basedOn w:val="Normal"/>
    <w:uiPriority w:val="34"/>
    <w:qFormat/>
    <w:rsid w:val="003E3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0772">
      <w:bodyDiv w:val="1"/>
      <w:marLeft w:val="0"/>
      <w:marRight w:val="0"/>
      <w:marTop w:val="0"/>
      <w:marBottom w:val="0"/>
      <w:divBdr>
        <w:top w:val="none" w:sz="0" w:space="0" w:color="auto"/>
        <w:left w:val="none" w:sz="0" w:space="0" w:color="auto"/>
        <w:bottom w:val="none" w:sz="0" w:space="0" w:color="auto"/>
        <w:right w:val="none" w:sz="0" w:space="0" w:color="auto"/>
      </w:divBdr>
      <w:divsChild>
        <w:div w:id="1645618894">
          <w:marLeft w:val="0"/>
          <w:marRight w:val="0"/>
          <w:marTop w:val="0"/>
          <w:marBottom w:val="0"/>
          <w:divBdr>
            <w:top w:val="none" w:sz="0" w:space="0" w:color="auto"/>
            <w:left w:val="none" w:sz="0" w:space="0" w:color="auto"/>
            <w:bottom w:val="none" w:sz="0" w:space="0" w:color="auto"/>
            <w:right w:val="none" w:sz="0" w:space="0" w:color="auto"/>
          </w:divBdr>
        </w:div>
        <w:div w:id="1040470505">
          <w:marLeft w:val="0"/>
          <w:marRight w:val="0"/>
          <w:marTop w:val="0"/>
          <w:marBottom w:val="0"/>
          <w:divBdr>
            <w:top w:val="none" w:sz="0" w:space="0" w:color="auto"/>
            <w:left w:val="none" w:sz="0" w:space="0" w:color="auto"/>
            <w:bottom w:val="none" w:sz="0" w:space="0" w:color="auto"/>
            <w:right w:val="none" w:sz="0" w:space="0" w:color="auto"/>
          </w:divBdr>
        </w:div>
      </w:divsChild>
    </w:div>
    <w:div w:id="179010286">
      <w:bodyDiv w:val="1"/>
      <w:marLeft w:val="0"/>
      <w:marRight w:val="0"/>
      <w:marTop w:val="0"/>
      <w:marBottom w:val="0"/>
      <w:divBdr>
        <w:top w:val="none" w:sz="0" w:space="0" w:color="auto"/>
        <w:left w:val="none" w:sz="0" w:space="0" w:color="auto"/>
        <w:bottom w:val="none" w:sz="0" w:space="0" w:color="auto"/>
        <w:right w:val="none" w:sz="0" w:space="0" w:color="auto"/>
      </w:divBdr>
      <w:divsChild>
        <w:div w:id="144010111">
          <w:marLeft w:val="0"/>
          <w:marRight w:val="0"/>
          <w:marTop w:val="0"/>
          <w:marBottom w:val="0"/>
          <w:divBdr>
            <w:top w:val="none" w:sz="0" w:space="0" w:color="auto"/>
            <w:left w:val="none" w:sz="0" w:space="0" w:color="auto"/>
            <w:bottom w:val="none" w:sz="0" w:space="0" w:color="auto"/>
            <w:right w:val="none" w:sz="0" w:space="0" w:color="auto"/>
          </w:divBdr>
          <w:divsChild>
            <w:div w:id="1739591227">
              <w:marLeft w:val="0"/>
              <w:marRight w:val="0"/>
              <w:marTop w:val="0"/>
              <w:marBottom w:val="0"/>
              <w:divBdr>
                <w:top w:val="none" w:sz="0" w:space="0" w:color="auto"/>
                <w:left w:val="none" w:sz="0" w:space="0" w:color="auto"/>
                <w:bottom w:val="none" w:sz="0" w:space="0" w:color="auto"/>
                <w:right w:val="none" w:sz="0" w:space="0" w:color="auto"/>
              </w:divBdr>
            </w:div>
          </w:divsChild>
        </w:div>
        <w:div w:id="1183471484">
          <w:marLeft w:val="0"/>
          <w:marRight w:val="0"/>
          <w:marTop w:val="0"/>
          <w:marBottom w:val="0"/>
          <w:divBdr>
            <w:top w:val="none" w:sz="0" w:space="0" w:color="auto"/>
            <w:left w:val="none" w:sz="0" w:space="0" w:color="auto"/>
            <w:bottom w:val="none" w:sz="0" w:space="0" w:color="auto"/>
            <w:right w:val="none" w:sz="0" w:space="0" w:color="auto"/>
          </w:divBdr>
          <w:divsChild>
            <w:div w:id="550776420">
              <w:marLeft w:val="0"/>
              <w:marRight w:val="0"/>
              <w:marTop w:val="0"/>
              <w:marBottom w:val="0"/>
              <w:divBdr>
                <w:top w:val="none" w:sz="0" w:space="0" w:color="auto"/>
                <w:left w:val="none" w:sz="0" w:space="0" w:color="auto"/>
                <w:bottom w:val="none" w:sz="0" w:space="0" w:color="auto"/>
                <w:right w:val="none" w:sz="0" w:space="0" w:color="auto"/>
              </w:divBdr>
            </w:div>
          </w:divsChild>
        </w:div>
        <w:div w:id="1630815835">
          <w:marLeft w:val="0"/>
          <w:marRight w:val="0"/>
          <w:marTop w:val="0"/>
          <w:marBottom w:val="0"/>
          <w:divBdr>
            <w:top w:val="none" w:sz="0" w:space="0" w:color="auto"/>
            <w:left w:val="none" w:sz="0" w:space="0" w:color="auto"/>
            <w:bottom w:val="none" w:sz="0" w:space="0" w:color="auto"/>
            <w:right w:val="none" w:sz="0" w:space="0" w:color="auto"/>
          </w:divBdr>
        </w:div>
        <w:div w:id="513571713">
          <w:marLeft w:val="0"/>
          <w:marRight w:val="0"/>
          <w:marTop w:val="0"/>
          <w:marBottom w:val="0"/>
          <w:divBdr>
            <w:top w:val="none" w:sz="0" w:space="0" w:color="auto"/>
            <w:left w:val="none" w:sz="0" w:space="0" w:color="auto"/>
            <w:bottom w:val="none" w:sz="0" w:space="0" w:color="auto"/>
            <w:right w:val="none" w:sz="0" w:space="0" w:color="auto"/>
          </w:divBdr>
          <w:divsChild>
            <w:div w:id="629357449">
              <w:marLeft w:val="0"/>
              <w:marRight w:val="0"/>
              <w:marTop w:val="0"/>
              <w:marBottom w:val="0"/>
              <w:divBdr>
                <w:top w:val="none" w:sz="0" w:space="0" w:color="auto"/>
                <w:left w:val="none" w:sz="0" w:space="0" w:color="auto"/>
                <w:bottom w:val="none" w:sz="0" w:space="0" w:color="auto"/>
                <w:right w:val="none" w:sz="0" w:space="0" w:color="auto"/>
              </w:divBdr>
            </w:div>
          </w:divsChild>
        </w:div>
        <w:div w:id="1221671434">
          <w:marLeft w:val="0"/>
          <w:marRight w:val="0"/>
          <w:marTop w:val="0"/>
          <w:marBottom w:val="0"/>
          <w:divBdr>
            <w:top w:val="none" w:sz="0" w:space="0" w:color="auto"/>
            <w:left w:val="none" w:sz="0" w:space="0" w:color="auto"/>
            <w:bottom w:val="none" w:sz="0" w:space="0" w:color="auto"/>
            <w:right w:val="none" w:sz="0" w:space="0" w:color="auto"/>
          </w:divBdr>
        </w:div>
        <w:div w:id="1594702877">
          <w:marLeft w:val="0"/>
          <w:marRight w:val="0"/>
          <w:marTop w:val="0"/>
          <w:marBottom w:val="0"/>
          <w:divBdr>
            <w:top w:val="none" w:sz="0" w:space="0" w:color="auto"/>
            <w:left w:val="none" w:sz="0" w:space="0" w:color="auto"/>
            <w:bottom w:val="none" w:sz="0" w:space="0" w:color="auto"/>
            <w:right w:val="none" w:sz="0" w:space="0" w:color="auto"/>
          </w:divBdr>
          <w:divsChild>
            <w:div w:id="996882331">
              <w:marLeft w:val="0"/>
              <w:marRight w:val="0"/>
              <w:marTop w:val="0"/>
              <w:marBottom w:val="0"/>
              <w:divBdr>
                <w:top w:val="none" w:sz="0" w:space="0" w:color="auto"/>
                <w:left w:val="none" w:sz="0" w:space="0" w:color="auto"/>
                <w:bottom w:val="none" w:sz="0" w:space="0" w:color="auto"/>
                <w:right w:val="none" w:sz="0" w:space="0" w:color="auto"/>
              </w:divBdr>
            </w:div>
          </w:divsChild>
        </w:div>
        <w:div w:id="932738306">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0"/>
              <w:divBdr>
                <w:top w:val="none" w:sz="0" w:space="0" w:color="auto"/>
                <w:left w:val="none" w:sz="0" w:space="0" w:color="auto"/>
                <w:bottom w:val="none" w:sz="0" w:space="0" w:color="auto"/>
                <w:right w:val="none" w:sz="0" w:space="0" w:color="auto"/>
              </w:divBdr>
            </w:div>
          </w:divsChild>
        </w:div>
        <w:div w:id="738286717">
          <w:marLeft w:val="0"/>
          <w:marRight w:val="0"/>
          <w:marTop w:val="0"/>
          <w:marBottom w:val="0"/>
          <w:divBdr>
            <w:top w:val="none" w:sz="0" w:space="0" w:color="auto"/>
            <w:left w:val="none" w:sz="0" w:space="0" w:color="auto"/>
            <w:bottom w:val="none" w:sz="0" w:space="0" w:color="auto"/>
            <w:right w:val="none" w:sz="0" w:space="0" w:color="auto"/>
          </w:divBdr>
          <w:divsChild>
            <w:div w:id="53477944">
              <w:marLeft w:val="0"/>
              <w:marRight w:val="0"/>
              <w:marTop w:val="0"/>
              <w:marBottom w:val="0"/>
              <w:divBdr>
                <w:top w:val="none" w:sz="0" w:space="0" w:color="auto"/>
                <w:left w:val="none" w:sz="0" w:space="0" w:color="auto"/>
                <w:bottom w:val="none" w:sz="0" w:space="0" w:color="auto"/>
                <w:right w:val="none" w:sz="0" w:space="0" w:color="auto"/>
              </w:divBdr>
            </w:div>
          </w:divsChild>
        </w:div>
        <w:div w:id="1529564607">
          <w:marLeft w:val="0"/>
          <w:marRight w:val="0"/>
          <w:marTop w:val="0"/>
          <w:marBottom w:val="0"/>
          <w:divBdr>
            <w:top w:val="none" w:sz="0" w:space="0" w:color="auto"/>
            <w:left w:val="none" w:sz="0" w:space="0" w:color="auto"/>
            <w:bottom w:val="none" w:sz="0" w:space="0" w:color="auto"/>
            <w:right w:val="none" w:sz="0" w:space="0" w:color="auto"/>
          </w:divBdr>
        </w:div>
      </w:divsChild>
    </w:div>
    <w:div w:id="919484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9930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2019-06-27T18:22:00Z</dcterms:created>
  <dcterms:modified xsi:type="dcterms:W3CDTF">2019-06-27T18:22:00Z</dcterms:modified>
</cp:coreProperties>
</file>