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39F4D1" w14:textId="2388930D" w:rsidR="0012045E" w:rsidRPr="006235D9" w:rsidRDefault="002E7841" w:rsidP="001135D6">
      <w:pPr>
        <w:jc w:val="center"/>
        <w:rPr>
          <w:b/>
          <w:bCs/>
          <w:color w:val="000000" w:themeColor="text1"/>
          <w:sz w:val="28"/>
          <w:szCs w:val="28"/>
        </w:rPr>
      </w:pPr>
      <w:r w:rsidRPr="006235D9">
        <w:rPr>
          <w:b/>
          <w:bCs/>
          <w:color w:val="000000" w:themeColor="text1"/>
          <w:sz w:val="28"/>
          <w:szCs w:val="28"/>
        </w:rPr>
        <w:t xml:space="preserve">STFM </w:t>
      </w:r>
      <w:r w:rsidR="001135D6" w:rsidRPr="006235D9">
        <w:rPr>
          <w:b/>
          <w:bCs/>
          <w:color w:val="000000" w:themeColor="text1"/>
          <w:sz w:val="28"/>
          <w:szCs w:val="28"/>
        </w:rPr>
        <w:t>National Clerkship Curriculum</w:t>
      </w:r>
    </w:p>
    <w:p w14:paraId="56C73D67" w14:textId="348B7B2D" w:rsidR="001135D6" w:rsidRPr="001135D6" w:rsidRDefault="001135D6">
      <w:pPr>
        <w:rPr>
          <w:color w:val="000000" w:themeColor="text1"/>
        </w:rPr>
      </w:pPr>
    </w:p>
    <w:p w14:paraId="713CCD80" w14:textId="360256A2" w:rsidR="006F3177" w:rsidRDefault="00C8507B">
      <w:pPr>
        <w:rPr>
          <w:rFonts w:ascii="Arial" w:eastAsia="Times New Roman" w:hAnsi="Arial" w:cs="Arial"/>
          <w:b/>
          <w:bCs/>
          <w:color w:val="606060"/>
        </w:rPr>
      </w:pPr>
      <w:r>
        <w:rPr>
          <w:rFonts w:ascii="Arial" w:eastAsia="Times New Roman" w:hAnsi="Arial" w:cs="Arial"/>
          <w:b/>
          <w:bCs/>
          <w:color w:val="000000" w:themeColor="text1"/>
        </w:rPr>
        <w:t xml:space="preserve">Title: </w:t>
      </w:r>
      <w:r w:rsidR="006F3177">
        <w:rPr>
          <w:rFonts w:ascii="Arial" w:eastAsia="Times New Roman" w:hAnsi="Arial" w:cs="Arial"/>
          <w:b/>
          <w:bCs/>
          <w:color w:val="000000" w:themeColor="text1"/>
        </w:rPr>
        <w:t>Eat This! A Distance Lifestyle Medicine Curriculum</w:t>
      </w:r>
    </w:p>
    <w:p w14:paraId="76DEDDFD" w14:textId="3467127B" w:rsidR="001135D6" w:rsidRDefault="001135D6">
      <w:pPr>
        <w:rPr>
          <w:rFonts w:ascii="Arial" w:eastAsia="Times New Roman" w:hAnsi="Arial" w:cs="Arial"/>
          <w:b/>
          <w:bCs/>
          <w:color w:val="606060"/>
        </w:rPr>
      </w:pPr>
    </w:p>
    <w:p w14:paraId="2BF294BA" w14:textId="77777777" w:rsidR="006F3177" w:rsidRDefault="00C8507B" w:rsidP="006F3177">
      <w:pPr>
        <w:rPr>
          <w:rFonts w:ascii="Arial" w:hAnsi="Arial" w:cs="Arial"/>
          <w:b/>
          <w:bCs/>
          <w:color w:val="000000" w:themeColor="text1"/>
          <w:sz w:val="20"/>
          <w:szCs w:val="20"/>
        </w:rPr>
      </w:pPr>
      <w:r w:rsidRPr="006235D9">
        <w:rPr>
          <w:rFonts w:ascii="Arial" w:hAnsi="Arial" w:cs="Arial"/>
          <w:b/>
          <w:bCs/>
          <w:color w:val="000000" w:themeColor="text1"/>
          <w:sz w:val="20"/>
          <w:szCs w:val="20"/>
        </w:rPr>
        <w:t>Description</w:t>
      </w:r>
      <w:r w:rsidR="001135D6" w:rsidRPr="006235D9">
        <w:rPr>
          <w:rFonts w:ascii="Arial" w:hAnsi="Arial" w:cs="Arial"/>
          <w:b/>
          <w:bCs/>
          <w:color w:val="000000" w:themeColor="text1"/>
          <w:sz w:val="20"/>
          <w:szCs w:val="20"/>
        </w:rPr>
        <w:t>:</w:t>
      </w:r>
    </w:p>
    <w:p w14:paraId="22205695" w14:textId="3DDB9511" w:rsidR="006F3177" w:rsidRPr="006F3177" w:rsidRDefault="006F3177" w:rsidP="006F3177">
      <w:pPr>
        <w:rPr>
          <w:rFonts w:ascii="Arial" w:hAnsi="Arial" w:cs="Arial"/>
          <w:b/>
          <w:bCs/>
          <w:color w:val="000000" w:themeColor="text1"/>
          <w:sz w:val="20"/>
          <w:szCs w:val="20"/>
        </w:rPr>
      </w:pPr>
      <w:r w:rsidRPr="006F3177">
        <w:rPr>
          <w:rFonts w:ascii="Verdana" w:eastAsia="Times New Roman" w:hAnsi="Verdana" w:cs="Times New Roman"/>
          <w:color w:val="000000"/>
          <w:sz w:val="17"/>
          <w:szCs w:val="17"/>
        </w:rPr>
        <w:t>At</w:t>
      </w:r>
      <w:r>
        <w:rPr>
          <w:rFonts w:ascii="Verdana" w:eastAsia="Times New Roman" w:hAnsi="Verdana" w:cs="Times New Roman"/>
          <w:color w:val="000000"/>
          <w:sz w:val="17"/>
          <w:szCs w:val="17"/>
        </w:rPr>
        <w:t xml:space="preserve"> </w:t>
      </w:r>
      <w:r w:rsidRPr="006F3177">
        <w:rPr>
          <w:rFonts w:ascii="Verdana" w:eastAsia="Times New Roman" w:hAnsi="Verdana" w:cs="Times New Roman"/>
          <w:color w:val="000000"/>
          <w:sz w:val="17"/>
          <w:szCs w:val="17"/>
        </w:rPr>
        <w:t>Medical University of South Carolina (MUSC), we have a disseminated Family Medicine clerkship with students located throughout the state of South Carolina. The required clerkship is six weeks long and takes place during the 3rd year. Students recognized a deficiency in the area of counseling patients regarding diet and exercise and provided this feedback. In response to this, three faculty members at MUSC created a case-based lifestyle medicine curriculum. The cases are reviewed in a small group setting using an online video conferencing service. There are associated questions that the students are assigned to complete and students then educate each other, with time allowed for discussion. This submission includes the current iteration of the cases, associated questions, as well as the facilitator guide used.</w:t>
      </w:r>
    </w:p>
    <w:p w14:paraId="3752DBF4" w14:textId="77777777" w:rsidR="00C8507B" w:rsidRDefault="00C8507B">
      <w:pPr>
        <w:rPr>
          <w:rFonts w:ascii="Arial" w:eastAsia="Times New Roman" w:hAnsi="Arial" w:cs="Arial"/>
          <w:color w:val="606060"/>
          <w:sz w:val="21"/>
          <w:szCs w:val="21"/>
        </w:rPr>
      </w:pPr>
    </w:p>
    <w:p w14:paraId="45DD8F57" w14:textId="77777777" w:rsidR="001135D6" w:rsidRPr="001135D6" w:rsidRDefault="001135D6" w:rsidP="001135D6">
      <w:pPr>
        <w:rPr>
          <w:rFonts w:ascii="Arial" w:eastAsia="Times New Roman" w:hAnsi="Arial" w:cs="Arial"/>
          <w:b/>
          <w:bCs/>
          <w:color w:val="000000" w:themeColor="text1"/>
          <w:sz w:val="21"/>
          <w:szCs w:val="21"/>
        </w:rPr>
      </w:pPr>
      <w:r w:rsidRPr="001135D6">
        <w:rPr>
          <w:rFonts w:ascii="Arial" w:eastAsia="Times New Roman" w:hAnsi="Arial" w:cs="Arial"/>
          <w:b/>
          <w:bCs/>
          <w:color w:val="000000" w:themeColor="text1"/>
          <w:sz w:val="21"/>
          <w:szCs w:val="21"/>
        </w:rPr>
        <w:t>Curricular Focus:</w:t>
      </w:r>
    </w:p>
    <w:p w14:paraId="35C80C60" w14:textId="77777777" w:rsidR="006F3177" w:rsidRPr="006F3177" w:rsidRDefault="006F3177" w:rsidP="001135D6">
      <w:pPr>
        <w:pStyle w:val="ListParagraph"/>
        <w:numPr>
          <w:ilvl w:val="0"/>
          <w:numId w:val="2"/>
        </w:numPr>
        <w:rPr>
          <w:color w:val="000000" w:themeColor="text1"/>
          <w:sz w:val="20"/>
          <w:szCs w:val="20"/>
        </w:rPr>
      </w:pPr>
      <w:r>
        <w:rPr>
          <w:rFonts w:ascii="Arial" w:eastAsia="Times New Roman" w:hAnsi="Arial" w:cs="Arial"/>
          <w:color w:val="000000" w:themeColor="text1"/>
          <w:sz w:val="20"/>
          <w:szCs w:val="20"/>
        </w:rPr>
        <w:t>Health Promotion and Disease Prevention</w:t>
      </w:r>
    </w:p>
    <w:p w14:paraId="068E9B83" w14:textId="4AB4F208" w:rsidR="001135D6" w:rsidRPr="00C8507B" w:rsidRDefault="001135D6" w:rsidP="001135D6">
      <w:pPr>
        <w:pStyle w:val="ListParagraph"/>
        <w:numPr>
          <w:ilvl w:val="0"/>
          <w:numId w:val="2"/>
        </w:numPr>
        <w:rPr>
          <w:color w:val="000000" w:themeColor="text1"/>
          <w:sz w:val="20"/>
          <w:szCs w:val="20"/>
        </w:rPr>
      </w:pPr>
      <w:r w:rsidRPr="001135D6">
        <w:rPr>
          <w:rFonts w:ascii="Arial" w:eastAsia="Times New Roman" w:hAnsi="Arial" w:cs="Arial"/>
          <w:color w:val="000000" w:themeColor="text1"/>
          <w:sz w:val="20"/>
          <w:szCs w:val="20"/>
        </w:rPr>
        <w:t xml:space="preserve">Core Presentations for </w:t>
      </w:r>
      <w:r w:rsidR="006F3177">
        <w:rPr>
          <w:rFonts w:ascii="Arial" w:eastAsia="Times New Roman" w:hAnsi="Arial" w:cs="Arial"/>
          <w:color w:val="000000" w:themeColor="text1"/>
          <w:sz w:val="20"/>
          <w:szCs w:val="20"/>
        </w:rPr>
        <w:t>Chronic Diseases</w:t>
      </w:r>
    </w:p>
    <w:p w14:paraId="49AB3A8D" w14:textId="36071C06" w:rsidR="001135D6" w:rsidRDefault="001135D6" w:rsidP="001135D6">
      <w:pPr>
        <w:rPr>
          <w:color w:val="000000" w:themeColor="text1"/>
          <w:sz w:val="20"/>
          <w:szCs w:val="20"/>
        </w:rPr>
      </w:pPr>
    </w:p>
    <w:p w14:paraId="49CADBD5" w14:textId="185BB642" w:rsidR="001135D6" w:rsidRPr="00C8507B" w:rsidRDefault="001135D6" w:rsidP="001135D6">
      <w:pPr>
        <w:rPr>
          <w:rFonts w:ascii="Arial" w:hAnsi="Arial" w:cs="Arial"/>
          <w:b/>
          <w:bCs/>
          <w:color w:val="000000" w:themeColor="text1"/>
          <w:sz w:val="20"/>
          <w:szCs w:val="20"/>
        </w:rPr>
      </w:pPr>
      <w:r w:rsidRPr="00C8507B">
        <w:rPr>
          <w:rFonts w:ascii="Arial" w:hAnsi="Arial" w:cs="Arial"/>
          <w:b/>
          <w:bCs/>
          <w:color w:val="000000" w:themeColor="text1"/>
          <w:sz w:val="20"/>
          <w:szCs w:val="20"/>
        </w:rPr>
        <w:t>Authors:</w:t>
      </w:r>
    </w:p>
    <w:p w14:paraId="116BB142" w14:textId="30D1F3E7" w:rsidR="001135D6" w:rsidRDefault="006F3177" w:rsidP="00C8507B">
      <w:pPr>
        <w:pStyle w:val="ListParagraph"/>
        <w:numPr>
          <w:ilvl w:val="0"/>
          <w:numId w:val="13"/>
        </w:numPr>
        <w:rPr>
          <w:rFonts w:ascii="Arial" w:hAnsi="Arial" w:cs="Arial"/>
          <w:color w:val="000000" w:themeColor="text1"/>
          <w:sz w:val="20"/>
          <w:szCs w:val="20"/>
        </w:rPr>
      </w:pPr>
      <w:r>
        <w:rPr>
          <w:rFonts w:ascii="Arial" w:hAnsi="Arial" w:cs="Arial"/>
          <w:color w:val="000000" w:themeColor="text1"/>
          <w:sz w:val="20"/>
          <w:szCs w:val="20"/>
        </w:rPr>
        <w:t xml:space="preserve">Kristen Hood </w:t>
      </w:r>
      <w:proofErr w:type="spellStart"/>
      <w:proofErr w:type="gramStart"/>
      <w:r>
        <w:rPr>
          <w:rFonts w:ascii="Arial" w:hAnsi="Arial" w:cs="Arial"/>
          <w:color w:val="000000" w:themeColor="text1"/>
          <w:sz w:val="20"/>
          <w:szCs w:val="20"/>
        </w:rPr>
        <w:t>Watson,</w:t>
      </w:r>
      <w:r w:rsidR="00787CE9">
        <w:rPr>
          <w:rFonts w:ascii="Arial" w:hAnsi="Arial" w:cs="Arial"/>
          <w:color w:val="000000" w:themeColor="text1"/>
          <w:sz w:val="20"/>
          <w:szCs w:val="20"/>
        </w:rPr>
        <w:t>MD</w:t>
      </w:r>
      <w:proofErr w:type="spellEnd"/>
      <w:proofErr w:type="gramEnd"/>
      <w:r w:rsidR="00787CE9">
        <w:rPr>
          <w:rFonts w:ascii="Arial" w:hAnsi="Arial" w:cs="Arial"/>
          <w:color w:val="000000" w:themeColor="text1"/>
          <w:sz w:val="20"/>
          <w:szCs w:val="20"/>
        </w:rPr>
        <w:t>,</w:t>
      </w:r>
      <w:r>
        <w:rPr>
          <w:rFonts w:ascii="Arial" w:hAnsi="Arial" w:cs="Arial"/>
          <w:color w:val="000000" w:themeColor="text1"/>
          <w:sz w:val="20"/>
          <w:szCs w:val="20"/>
        </w:rPr>
        <w:t xml:space="preserve"> Medical University of South Carolina</w:t>
      </w:r>
    </w:p>
    <w:p w14:paraId="49CA56A0" w14:textId="4194915A" w:rsidR="006F3177" w:rsidRDefault="006F3177" w:rsidP="00C8507B">
      <w:pPr>
        <w:pStyle w:val="ListParagraph"/>
        <w:numPr>
          <w:ilvl w:val="0"/>
          <w:numId w:val="13"/>
        </w:numPr>
        <w:rPr>
          <w:rFonts w:ascii="Arial" w:hAnsi="Arial" w:cs="Arial"/>
          <w:color w:val="000000" w:themeColor="text1"/>
          <w:sz w:val="20"/>
          <w:szCs w:val="20"/>
        </w:rPr>
      </w:pPr>
      <w:r>
        <w:rPr>
          <w:rFonts w:ascii="Arial" w:hAnsi="Arial" w:cs="Arial"/>
          <w:color w:val="000000" w:themeColor="text1"/>
          <w:sz w:val="20"/>
          <w:szCs w:val="20"/>
        </w:rPr>
        <w:t xml:space="preserve">Anita </w:t>
      </w:r>
      <w:proofErr w:type="spellStart"/>
      <w:r>
        <w:rPr>
          <w:rFonts w:ascii="Arial" w:hAnsi="Arial" w:cs="Arial"/>
          <w:color w:val="000000" w:themeColor="text1"/>
          <w:sz w:val="20"/>
          <w:szCs w:val="20"/>
        </w:rPr>
        <w:t>Ramsetty</w:t>
      </w:r>
      <w:proofErr w:type="spellEnd"/>
      <w:r>
        <w:rPr>
          <w:rFonts w:ascii="Arial" w:hAnsi="Arial" w:cs="Arial"/>
          <w:color w:val="000000" w:themeColor="text1"/>
          <w:sz w:val="20"/>
          <w:szCs w:val="20"/>
        </w:rPr>
        <w:t>,</w:t>
      </w:r>
      <w:r w:rsidR="00787CE9">
        <w:rPr>
          <w:rFonts w:ascii="Arial" w:hAnsi="Arial" w:cs="Arial"/>
          <w:color w:val="000000" w:themeColor="text1"/>
          <w:sz w:val="20"/>
          <w:szCs w:val="20"/>
        </w:rPr>
        <w:t xml:space="preserve"> </w:t>
      </w:r>
      <w:proofErr w:type="gramStart"/>
      <w:r w:rsidR="00787CE9">
        <w:rPr>
          <w:rFonts w:ascii="Arial" w:hAnsi="Arial" w:cs="Arial"/>
          <w:color w:val="000000" w:themeColor="text1"/>
          <w:sz w:val="20"/>
          <w:szCs w:val="20"/>
        </w:rPr>
        <w:t xml:space="preserve">MD, </w:t>
      </w:r>
      <w:r>
        <w:rPr>
          <w:rFonts w:ascii="Arial" w:hAnsi="Arial" w:cs="Arial"/>
          <w:color w:val="000000" w:themeColor="text1"/>
          <w:sz w:val="20"/>
          <w:szCs w:val="20"/>
        </w:rPr>
        <w:t xml:space="preserve"> Medical</w:t>
      </w:r>
      <w:proofErr w:type="gramEnd"/>
      <w:r>
        <w:rPr>
          <w:rFonts w:ascii="Arial" w:hAnsi="Arial" w:cs="Arial"/>
          <w:color w:val="000000" w:themeColor="text1"/>
          <w:sz w:val="20"/>
          <w:szCs w:val="20"/>
        </w:rPr>
        <w:t xml:space="preserve"> University of South Carolina</w:t>
      </w:r>
    </w:p>
    <w:p w14:paraId="6A8CD483" w14:textId="595F5F05" w:rsidR="00C8507B" w:rsidRDefault="006F3177" w:rsidP="00C8507B">
      <w:pPr>
        <w:pStyle w:val="ListParagraph"/>
        <w:numPr>
          <w:ilvl w:val="0"/>
          <w:numId w:val="13"/>
        </w:numPr>
        <w:rPr>
          <w:rFonts w:ascii="Arial" w:hAnsi="Arial" w:cs="Arial"/>
          <w:color w:val="000000" w:themeColor="text1"/>
          <w:sz w:val="20"/>
          <w:szCs w:val="20"/>
        </w:rPr>
      </w:pPr>
      <w:r>
        <w:rPr>
          <w:rFonts w:ascii="Arial" w:hAnsi="Arial" w:cs="Arial"/>
          <w:color w:val="000000" w:themeColor="text1"/>
          <w:sz w:val="20"/>
          <w:szCs w:val="20"/>
        </w:rPr>
        <w:t>Cristin Adams,</w:t>
      </w:r>
      <w:r w:rsidR="00787CE9">
        <w:rPr>
          <w:rFonts w:ascii="Arial" w:hAnsi="Arial" w:cs="Arial"/>
          <w:color w:val="000000" w:themeColor="text1"/>
          <w:sz w:val="20"/>
          <w:szCs w:val="20"/>
        </w:rPr>
        <w:t xml:space="preserve"> DO,</w:t>
      </w:r>
      <w:bookmarkStart w:id="0" w:name="_GoBack"/>
      <w:bookmarkEnd w:id="0"/>
      <w:r>
        <w:rPr>
          <w:rFonts w:ascii="Arial" w:hAnsi="Arial" w:cs="Arial"/>
          <w:color w:val="000000" w:themeColor="text1"/>
          <w:sz w:val="20"/>
          <w:szCs w:val="20"/>
        </w:rPr>
        <w:t xml:space="preserve"> Medical University of South Carolina</w:t>
      </w:r>
    </w:p>
    <w:p w14:paraId="20D0E72A" w14:textId="77777777" w:rsidR="006F3177" w:rsidRDefault="006F3177" w:rsidP="006235D9">
      <w:pPr>
        <w:rPr>
          <w:rFonts w:ascii="Arial" w:hAnsi="Arial" w:cs="Arial"/>
          <w:b/>
          <w:bCs/>
          <w:color w:val="000000" w:themeColor="text1"/>
          <w:sz w:val="20"/>
          <w:szCs w:val="20"/>
        </w:rPr>
      </w:pPr>
    </w:p>
    <w:p w14:paraId="30E3DC72" w14:textId="39B99D36" w:rsidR="001135D6" w:rsidRPr="006F3177" w:rsidRDefault="001135D6" w:rsidP="006235D9">
      <w:pPr>
        <w:rPr>
          <w:rFonts w:ascii="Arial" w:hAnsi="Arial" w:cs="Arial"/>
          <w:color w:val="000000" w:themeColor="text1"/>
          <w:sz w:val="20"/>
          <w:szCs w:val="20"/>
        </w:rPr>
      </w:pPr>
      <w:r w:rsidRPr="00C8507B">
        <w:rPr>
          <w:rFonts w:ascii="Arial" w:hAnsi="Arial" w:cs="Arial"/>
          <w:b/>
          <w:bCs/>
          <w:color w:val="000000" w:themeColor="text1"/>
          <w:sz w:val="20"/>
          <w:szCs w:val="20"/>
        </w:rPr>
        <w:t>Disclosure of Financial Relationships</w:t>
      </w:r>
      <w:r w:rsidR="006235D9">
        <w:rPr>
          <w:rFonts w:ascii="Arial" w:hAnsi="Arial" w:cs="Arial"/>
          <w:b/>
          <w:bCs/>
          <w:color w:val="000000" w:themeColor="text1"/>
          <w:sz w:val="20"/>
          <w:szCs w:val="20"/>
        </w:rPr>
        <w:t xml:space="preserve">: </w:t>
      </w:r>
      <w:r w:rsidR="006235D9">
        <w:rPr>
          <w:rFonts w:ascii="Arial" w:eastAsia="Times New Roman" w:hAnsi="Arial" w:cs="Arial"/>
          <w:color w:val="000000"/>
          <w:sz w:val="20"/>
          <w:szCs w:val="20"/>
        </w:rPr>
        <w:t>None</w:t>
      </w:r>
    </w:p>
    <w:p w14:paraId="473BF666" w14:textId="77777777" w:rsidR="00FC6D09" w:rsidRDefault="00FC6D09" w:rsidP="001135D6">
      <w:pPr>
        <w:rPr>
          <w:rFonts w:ascii="Arial" w:eastAsia="Times New Roman" w:hAnsi="Arial" w:cs="Arial"/>
          <w:b/>
          <w:bCs/>
          <w:color w:val="000000" w:themeColor="text1"/>
          <w:sz w:val="20"/>
          <w:szCs w:val="20"/>
        </w:rPr>
      </w:pPr>
    </w:p>
    <w:p w14:paraId="2B631666" w14:textId="2B755504" w:rsidR="006F3177" w:rsidRDefault="001135D6" w:rsidP="001135D6">
      <w:pPr>
        <w:rPr>
          <w:rFonts w:ascii="Arial" w:eastAsia="Times New Roman" w:hAnsi="Arial" w:cs="Arial"/>
          <w:b/>
          <w:bCs/>
          <w:color w:val="000000" w:themeColor="text1"/>
          <w:sz w:val="20"/>
          <w:szCs w:val="20"/>
        </w:rPr>
      </w:pPr>
      <w:r w:rsidRPr="00C8507B">
        <w:rPr>
          <w:rFonts w:ascii="Arial" w:eastAsia="Times New Roman" w:hAnsi="Arial" w:cs="Arial"/>
          <w:b/>
          <w:bCs/>
          <w:color w:val="000000" w:themeColor="text1"/>
          <w:sz w:val="20"/>
          <w:szCs w:val="20"/>
        </w:rPr>
        <w:t>Clerkship Structure</w:t>
      </w:r>
    </w:p>
    <w:p w14:paraId="4CCE8FF4" w14:textId="77777777" w:rsidR="006F3177" w:rsidRPr="006F3177" w:rsidRDefault="006F3177" w:rsidP="006F3177">
      <w:pPr>
        <w:rPr>
          <w:rFonts w:ascii="Arial" w:hAnsi="Arial" w:cs="Arial"/>
          <w:sz w:val="20"/>
          <w:szCs w:val="20"/>
        </w:rPr>
      </w:pPr>
      <w:r w:rsidRPr="006F3177">
        <w:rPr>
          <w:rFonts w:ascii="Arial" w:hAnsi="Arial" w:cs="Arial"/>
          <w:sz w:val="20"/>
          <w:szCs w:val="20"/>
        </w:rPr>
        <w:t>The mandatory Family Medicine clerkship occurs during the 3rd year of medical school. The course is a block rotation (8 blocks per year), 6 weeks in length, and takes place at a variety of sites throughout the state. The ~180 third year learners are in a range of settings (academic/residency based to independent practice). The experience at each site must be predominantly ambulatory. However, of the ~50 sites, some include exposure to inpatient medicine, nursing homes, hospice care, etc. The number of students per rotation varies, but on average there are 22 students each block.</w:t>
      </w:r>
    </w:p>
    <w:p w14:paraId="426F8F05" w14:textId="77777777" w:rsidR="006F3177" w:rsidRPr="00C8507B" w:rsidRDefault="006F3177" w:rsidP="001135D6">
      <w:pPr>
        <w:rPr>
          <w:rFonts w:ascii="Arial" w:hAnsi="Arial" w:cs="Arial"/>
          <w:color w:val="000000" w:themeColor="text1"/>
          <w:sz w:val="20"/>
          <w:szCs w:val="20"/>
        </w:rPr>
      </w:pPr>
    </w:p>
    <w:p w14:paraId="719A1124" w14:textId="5129C13E" w:rsidR="001135D6" w:rsidRPr="00FC6D09" w:rsidRDefault="001135D6" w:rsidP="001135D6">
      <w:pPr>
        <w:spacing w:before="75" w:after="75" w:line="300" w:lineRule="atLeast"/>
        <w:rPr>
          <w:rFonts w:ascii="Arial" w:eastAsia="Times New Roman" w:hAnsi="Arial" w:cs="Arial"/>
          <w:b/>
          <w:bCs/>
          <w:color w:val="000000" w:themeColor="text1"/>
          <w:sz w:val="20"/>
          <w:szCs w:val="20"/>
        </w:rPr>
      </w:pPr>
      <w:r w:rsidRPr="00FC6D09">
        <w:rPr>
          <w:rFonts w:ascii="Arial" w:eastAsia="Times New Roman" w:hAnsi="Arial" w:cs="Arial"/>
          <w:b/>
          <w:bCs/>
          <w:color w:val="000000" w:themeColor="text1"/>
          <w:sz w:val="20"/>
          <w:szCs w:val="20"/>
        </w:rPr>
        <w:t>National Clerkship Curriculum Objectives Addressed</w:t>
      </w:r>
    </w:p>
    <w:p w14:paraId="0F7CC938" w14:textId="395416B8" w:rsidR="006F3177" w:rsidRPr="006F3177" w:rsidRDefault="006F3177" w:rsidP="006F3177">
      <w:pPr>
        <w:rPr>
          <w:rFonts w:ascii="Arial" w:hAnsi="Arial" w:cs="Arial"/>
          <w:sz w:val="20"/>
          <w:szCs w:val="20"/>
        </w:rPr>
      </w:pPr>
      <w:r w:rsidRPr="006F3177">
        <w:rPr>
          <w:rFonts w:ascii="Arial" w:hAnsi="Arial" w:cs="Arial"/>
          <w:sz w:val="20"/>
          <w:szCs w:val="20"/>
        </w:rPr>
        <w:t>Principles of Family Medicine Objectives</w:t>
      </w:r>
    </w:p>
    <w:p w14:paraId="6AE3E629" w14:textId="77777777" w:rsidR="006F3177" w:rsidRPr="006F3177" w:rsidRDefault="006F3177" w:rsidP="006F3177">
      <w:pPr>
        <w:pStyle w:val="ListParagraph"/>
        <w:numPr>
          <w:ilvl w:val="0"/>
          <w:numId w:val="27"/>
        </w:numPr>
        <w:rPr>
          <w:rFonts w:ascii="Arial" w:hAnsi="Arial" w:cs="Arial"/>
          <w:sz w:val="20"/>
          <w:szCs w:val="20"/>
        </w:rPr>
      </w:pPr>
      <w:r w:rsidRPr="006F3177">
        <w:rPr>
          <w:rFonts w:ascii="Arial" w:hAnsi="Arial" w:cs="Arial"/>
          <w:sz w:val="20"/>
          <w:szCs w:val="20"/>
        </w:rPr>
        <w:t>Describe the treatment plans for prevention and management of acute and</w:t>
      </w:r>
      <w:r w:rsidRPr="006F3177">
        <w:rPr>
          <w:rFonts w:ascii="Arial" w:hAnsi="Arial" w:cs="Arial"/>
          <w:sz w:val="20"/>
          <w:szCs w:val="20"/>
        </w:rPr>
        <w:br/>
        <w:t>chronic conditions to the patient.</w:t>
      </w:r>
    </w:p>
    <w:p w14:paraId="2A97F0B2" w14:textId="77777777" w:rsidR="006F3177" w:rsidRPr="006F3177" w:rsidRDefault="006F3177" w:rsidP="006F3177">
      <w:pPr>
        <w:pStyle w:val="ListParagraph"/>
        <w:numPr>
          <w:ilvl w:val="0"/>
          <w:numId w:val="27"/>
        </w:numPr>
        <w:rPr>
          <w:rFonts w:ascii="Arial" w:hAnsi="Arial" w:cs="Arial"/>
          <w:sz w:val="20"/>
          <w:szCs w:val="20"/>
        </w:rPr>
      </w:pPr>
      <w:r w:rsidRPr="006F3177">
        <w:rPr>
          <w:rFonts w:ascii="Arial" w:hAnsi="Arial" w:cs="Arial"/>
          <w:sz w:val="20"/>
          <w:szCs w:val="20"/>
        </w:rPr>
        <w:t>Clarify information obtained by a patient from such sources as popular media,</w:t>
      </w:r>
      <w:r w:rsidRPr="006F3177">
        <w:rPr>
          <w:rFonts w:ascii="Arial" w:hAnsi="Arial" w:cs="Arial"/>
          <w:sz w:val="20"/>
          <w:szCs w:val="20"/>
        </w:rPr>
        <w:br/>
        <w:t>friends and family, or the Internet.</w:t>
      </w:r>
    </w:p>
    <w:p w14:paraId="5AFC0173" w14:textId="77777777" w:rsidR="006F3177" w:rsidRPr="006F3177" w:rsidRDefault="006F3177" w:rsidP="006F3177">
      <w:pPr>
        <w:pStyle w:val="ListParagraph"/>
        <w:numPr>
          <w:ilvl w:val="0"/>
          <w:numId w:val="27"/>
        </w:numPr>
        <w:rPr>
          <w:rFonts w:ascii="Arial" w:hAnsi="Arial" w:cs="Arial"/>
          <w:sz w:val="20"/>
          <w:szCs w:val="20"/>
        </w:rPr>
      </w:pPr>
      <w:r w:rsidRPr="006F3177">
        <w:rPr>
          <w:rFonts w:ascii="Arial" w:hAnsi="Arial" w:cs="Arial"/>
          <w:sz w:val="20"/>
          <w:szCs w:val="20"/>
        </w:rPr>
        <w:t xml:space="preserve">Reflect of the personal </w:t>
      </w:r>
      <w:proofErr w:type="gramStart"/>
      <w:r w:rsidRPr="006F3177">
        <w:rPr>
          <w:rFonts w:ascii="Arial" w:hAnsi="Arial" w:cs="Arial"/>
          <w:sz w:val="20"/>
          <w:szCs w:val="20"/>
        </w:rPr>
        <w:t>frustrations, and</w:t>
      </w:r>
      <w:proofErr w:type="gramEnd"/>
      <w:r w:rsidRPr="006F3177">
        <w:rPr>
          <w:rFonts w:ascii="Arial" w:hAnsi="Arial" w:cs="Arial"/>
          <w:sz w:val="20"/>
          <w:szCs w:val="20"/>
        </w:rPr>
        <w:t xml:space="preserve"> transform this response into a deeper</w:t>
      </w:r>
      <w:r w:rsidRPr="006F3177">
        <w:rPr>
          <w:rFonts w:ascii="Arial" w:hAnsi="Arial" w:cs="Arial"/>
          <w:sz w:val="20"/>
          <w:szCs w:val="20"/>
        </w:rPr>
        <w:br/>
        <w:t>understanding of the patient’s and one’s own situation, when patients do not</w:t>
      </w:r>
      <w:r w:rsidRPr="006F3177">
        <w:rPr>
          <w:rFonts w:ascii="Arial" w:hAnsi="Arial" w:cs="Arial"/>
          <w:sz w:val="20"/>
          <w:szCs w:val="20"/>
        </w:rPr>
        <w:br/>
        <w:t>adhere to offered recommendations or plans.</w:t>
      </w:r>
    </w:p>
    <w:p w14:paraId="6D49A162" w14:textId="77777777" w:rsidR="006F3177" w:rsidRPr="006F3177" w:rsidRDefault="006F3177" w:rsidP="006F3177">
      <w:pPr>
        <w:pStyle w:val="ListParagraph"/>
        <w:numPr>
          <w:ilvl w:val="0"/>
          <w:numId w:val="27"/>
        </w:numPr>
        <w:rPr>
          <w:rFonts w:ascii="Arial" w:hAnsi="Arial" w:cs="Arial"/>
          <w:sz w:val="20"/>
          <w:szCs w:val="20"/>
        </w:rPr>
      </w:pPr>
      <w:r w:rsidRPr="006F3177">
        <w:rPr>
          <w:rFonts w:ascii="Arial" w:hAnsi="Arial" w:cs="Arial"/>
          <w:sz w:val="20"/>
          <w:szCs w:val="20"/>
        </w:rPr>
        <w:t>Discuss the influence of psychosocial factors on a patient’s ability to provide a history and carry out a treatment plan.</w:t>
      </w:r>
    </w:p>
    <w:p w14:paraId="7A9494FE" w14:textId="77777777" w:rsidR="006F3177" w:rsidRPr="006F3177" w:rsidRDefault="006F3177" w:rsidP="006F3177">
      <w:pPr>
        <w:pStyle w:val="ListParagraph"/>
        <w:numPr>
          <w:ilvl w:val="0"/>
          <w:numId w:val="27"/>
        </w:numPr>
        <w:rPr>
          <w:rFonts w:ascii="Arial" w:hAnsi="Arial" w:cs="Arial"/>
          <w:sz w:val="20"/>
          <w:szCs w:val="20"/>
        </w:rPr>
      </w:pPr>
      <w:r w:rsidRPr="006F3177">
        <w:rPr>
          <w:rFonts w:ascii="Arial" w:hAnsi="Arial" w:cs="Arial"/>
          <w:sz w:val="20"/>
          <w:szCs w:val="20"/>
        </w:rPr>
        <w:t>Formulate clinical questions important to patient management and conduct an</w:t>
      </w:r>
      <w:r w:rsidRPr="006F3177">
        <w:rPr>
          <w:rFonts w:ascii="Arial" w:hAnsi="Arial" w:cs="Arial"/>
          <w:sz w:val="20"/>
          <w:szCs w:val="20"/>
        </w:rPr>
        <w:br/>
        <w:t>appropriate literature search to answer clinical questions.</w:t>
      </w:r>
    </w:p>
    <w:p w14:paraId="7F3C1205" w14:textId="5FFDDDDA" w:rsidR="006F3177" w:rsidRPr="006F3177" w:rsidRDefault="006F3177" w:rsidP="006F3177">
      <w:pPr>
        <w:pStyle w:val="ListParagraph"/>
        <w:numPr>
          <w:ilvl w:val="0"/>
          <w:numId w:val="27"/>
        </w:numPr>
        <w:rPr>
          <w:rFonts w:ascii="Arial" w:hAnsi="Arial" w:cs="Arial"/>
          <w:sz w:val="20"/>
          <w:szCs w:val="20"/>
        </w:rPr>
      </w:pPr>
      <w:r w:rsidRPr="006F3177">
        <w:rPr>
          <w:rFonts w:ascii="Arial" w:hAnsi="Arial" w:cs="Arial"/>
          <w:sz w:val="20"/>
          <w:szCs w:val="20"/>
        </w:rPr>
        <w:t>Describe the barriers stemming from the health care system that affect the ability</w:t>
      </w:r>
      <w:r w:rsidRPr="006F3177">
        <w:rPr>
          <w:rFonts w:ascii="Arial" w:hAnsi="Arial" w:cs="Arial"/>
          <w:sz w:val="20"/>
          <w:szCs w:val="20"/>
        </w:rPr>
        <w:br/>
        <w:t>of patients to obtain and use health care.</w:t>
      </w:r>
      <w:r w:rsidRPr="006F3177">
        <w:rPr>
          <w:rFonts w:ascii="Arial" w:hAnsi="Arial" w:cs="Arial"/>
          <w:sz w:val="20"/>
          <w:szCs w:val="20"/>
        </w:rPr>
        <w:br/>
      </w:r>
    </w:p>
    <w:p w14:paraId="75A53093" w14:textId="37DCCF33" w:rsidR="006F3177" w:rsidRPr="006F3177" w:rsidRDefault="006F3177" w:rsidP="006F3177">
      <w:pPr>
        <w:rPr>
          <w:rFonts w:ascii="Arial" w:hAnsi="Arial" w:cs="Arial"/>
          <w:sz w:val="20"/>
          <w:szCs w:val="20"/>
        </w:rPr>
      </w:pPr>
      <w:r w:rsidRPr="006F3177">
        <w:rPr>
          <w:rFonts w:ascii="Arial" w:hAnsi="Arial" w:cs="Arial"/>
          <w:sz w:val="20"/>
          <w:szCs w:val="20"/>
        </w:rPr>
        <w:t>Chronic Disease Objectives</w:t>
      </w:r>
    </w:p>
    <w:p w14:paraId="2D36AB38" w14:textId="77777777" w:rsidR="006F3177" w:rsidRPr="006F3177" w:rsidRDefault="006F3177" w:rsidP="006F3177">
      <w:pPr>
        <w:pStyle w:val="ListParagraph"/>
        <w:numPr>
          <w:ilvl w:val="0"/>
          <w:numId w:val="30"/>
        </w:numPr>
        <w:rPr>
          <w:rFonts w:ascii="Arial" w:hAnsi="Arial" w:cs="Arial"/>
          <w:sz w:val="20"/>
          <w:szCs w:val="20"/>
        </w:rPr>
      </w:pPr>
      <w:r w:rsidRPr="006F3177">
        <w:rPr>
          <w:rFonts w:ascii="Arial" w:hAnsi="Arial" w:cs="Arial"/>
          <w:sz w:val="20"/>
          <w:szCs w:val="20"/>
        </w:rPr>
        <w:t>Propose an evidence-based management plan that includes pharmacologic and</w:t>
      </w:r>
      <w:r w:rsidRPr="006F3177">
        <w:rPr>
          <w:rFonts w:ascii="Arial" w:hAnsi="Arial" w:cs="Arial"/>
          <w:sz w:val="20"/>
          <w:szCs w:val="20"/>
        </w:rPr>
        <w:br/>
        <w:t>non-pharmacologic treatments and appropriate surveillance and tertiary</w:t>
      </w:r>
      <w:r w:rsidRPr="006F3177">
        <w:rPr>
          <w:rFonts w:ascii="Arial" w:hAnsi="Arial" w:cs="Arial"/>
          <w:sz w:val="20"/>
          <w:szCs w:val="20"/>
        </w:rPr>
        <w:br/>
        <w:t>prevention.</w:t>
      </w:r>
      <w:r w:rsidRPr="006F3177">
        <w:rPr>
          <w:rFonts w:ascii="Arial" w:hAnsi="Arial" w:cs="Arial"/>
          <w:sz w:val="20"/>
          <w:szCs w:val="20"/>
        </w:rPr>
        <w:br/>
      </w:r>
      <w:r w:rsidRPr="006F3177">
        <w:rPr>
          <w:rFonts w:ascii="Arial" w:hAnsi="Arial" w:cs="Arial"/>
          <w:sz w:val="20"/>
          <w:szCs w:val="20"/>
        </w:rPr>
        <w:br/>
      </w:r>
    </w:p>
    <w:p w14:paraId="13F782C9" w14:textId="417422E1" w:rsidR="006F3177" w:rsidRPr="006F3177" w:rsidRDefault="006F3177" w:rsidP="006F3177">
      <w:pPr>
        <w:rPr>
          <w:rFonts w:ascii="Arial" w:hAnsi="Arial" w:cs="Arial"/>
          <w:sz w:val="20"/>
          <w:szCs w:val="20"/>
        </w:rPr>
      </w:pPr>
      <w:r w:rsidRPr="006F3177">
        <w:rPr>
          <w:rFonts w:ascii="Arial" w:hAnsi="Arial" w:cs="Arial"/>
          <w:sz w:val="20"/>
          <w:szCs w:val="20"/>
        </w:rPr>
        <w:lastRenderedPageBreak/>
        <w:t>Preventive Care Objectives</w:t>
      </w:r>
    </w:p>
    <w:p w14:paraId="38B627B9" w14:textId="77777777" w:rsidR="006F3177" w:rsidRPr="006F3177" w:rsidRDefault="006F3177" w:rsidP="006F3177">
      <w:pPr>
        <w:pStyle w:val="ListParagraph"/>
        <w:numPr>
          <w:ilvl w:val="0"/>
          <w:numId w:val="27"/>
        </w:numPr>
        <w:rPr>
          <w:rFonts w:ascii="Arial" w:hAnsi="Arial" w:cs="Arial"/>
          <w:sz w:val="20"/>
          <w:szCs w:val="20"/>
        </w:rPr>
      </w:pPr>
      <w:r w:rsidRPr="006F3177">
        <w:rPr>
          <w:rFonts w:ascii="Arial" w:hAnsi="Arial" w:cs="Arial"/>
          <w:sz w:val="20"/>
          <w:szCs w:val="20"/>
        </w:rPr>
        <w:t>Apply the stages of change model and use motivational interviewing to</w:t>
      </w:r>
      <w:r w:rsidRPr="006F3177">
        <w:rPr>
          <w:rFonts w:ascii="Arial" w:hAnsi="Arial" w:cs="Arial"/>
          <w:sz w:val="20"/>
          <w:szCs w:val="20"/>
        </w:rPr>
        <w:br/>
        <w:t>encourage lifestyle changes to support wellness (weight loss, smoking cessation,</w:t>
      </w:r>
      <w:r w:rsidRPr="006F3177">
        <w:rPr>
          <w:rFonts w:ascii="Arial" w:hAnsi="Arial" w:cs="Arial"/>
          <w:sz w:val="20"/>
          <w:szCs w:val="20"/>
        </w:rPr>
        <w:br/>
        <w:t>safe sexual practices, exercise, activity, nutrition, diet.)</w:t>
      </w:r>
    </w:p>
    <w:p w14:paraId="70FE792F" w14:textId="19D51F61" w:rsidR="006F3177" w:rsidRPr="006F3177" w:rsidRDefault="006F3177" w:rsidP="006F3177">
      <w:pPr>
        <w:pStyle w:val="ListParagraph"/>
        <w:numPr>
          <w:ilvl w:val="0"/>
          <w:numId w:val="27"/>
        </w:numPr>
        <w:rPr>
          <w:rFonts w:ascii="Arial" w:hAnsi="Arial" w:cs="Arial"/>
          <w:sz w:val="20"/>
          <w:szCs w:val="20"/>
        </w:rPr>
      </w:pPr>
      <w:r w:rsidRPr="006F3177">
        <w:rPr>
          <w:rFonts w:ascii="Arial" w:hAnsi="Arial" w:cs="Arial"/>
          <w:sz w:val="20"/>
          <w:szCs w:val="20"/>
        </w:rPr>
        <w:t>Discuss who should be screened and methods of screening</w:t>
      </w:r>
    </w:p>
    <w:p w14:paraId="3439EC32" w14:textId="044FC9A0" w:rsidR="005273DD" w:rsidRPr="006F3177" w:rsidRDefault="005273DD" w:rsidP="006F3177">
      <w:pPr>
        <w:rPr>
          <w:rFonts w:ascii="Times New Roman" w:eastAsia="Times New Roman" w:hAnsi="Times New Roman" w:cs="Times New Roman"/>
          <w:color w:val="000000" w:themeColor="text1"/>
          <w:sz w:val="20"/>
          <w:szCs w:val="20"/>
        </w:rPr>
      </w:pPr>
    </w:p>
    <w:p w14:paraId="3C34CC09" w14:textId="77777777" w:rsidR="005273DD" w:rsidRPr="00C8507B" w:rsidRDefault="005273DD" w:rsidP="005273DD">
      <w:pPr>
        <w:spacing w:line="240" w:lineRule="atLeast"/>
        <w:rPr>
          <w:rFonts w:ascii="Arial" w:eastAsia="Times New Roman" w:hAnsi="Arial" w:cs="Arial"/>
          <w:color w:val="000000" w:themeColor="text1"/>
          <w:sz w:val="20"/>
          <w:szCs w:val="20"/>
        </w:rPr>
      </w:pPr>
      <w:r w:rsidRPr="00C8507B">
        <w:rPr>
          <w:rFonts w:ascii="Arial" w:eastAsia="Times New Roman" w:hAnsi="Arial" w:cs="Arial"/>
          <w:b/>
          <w:bCs/>
          <w:color w:val="000000" w:themeColor="text1"/>
          <w:sz w:val="20"/>
          <w:szCs w:val="20"/>
        </w:rPr>
        <w:t xml:space="preserve">Association of American Medical Colleges </w:t>
      </w:r>
      <w:proofErr w:type="spellStart"/>
      <w:r w:rsidRPr="00C8507B">
        <w:rPr>
          <w:rFonts w:ascii="Arial" w:eastAsia="Times New Roman" w:hAnsi="Arial" w:cs="Arial"/>
          <w:b/>
          <w:bCs/>
          <w:color w:val="000000" w:themeColor="text1"/>
          <w:sz w:val="20"/>
          <w:szCs w:val="20"/>
        </w:rPr>
        <w:t>Entrustable</w:t>
      </w:r>
      <w:proofErr w:type="spellEnd"/>
      <w:r w:rsidRPr="00C8507B">
        <w:rPr>
          <w:rFonts w:ascii="Arial" w:eastAsia="Times New Roman" w:hAnsi="Arial" w:cs="Arial"/>
          <w:b/>
          <w:bCs/>
          <w:color w:val="000000" w:themeColor="text1"/>
          <w:sz w:val="20"/>
          <w:szCs w:val="20"/>
        </w:rPr>
        <w:t xml:space="preserve"> Professional Activities Addressed</w:t>
      </w:r>
    </w:p>
    <w:p w14:paraId="045B8F00" w14:textId="77777777" w:rsidR="006F3177" w:rsidRPr="006F3177" w:rsidRDefault="006F3177" w:rsidP="006F3177">
      <w:pPr>
        <w:rPr>
          <w:rFonts w:ascii="Arial" w:hAnsi="Arial" w:cs="Arial"/>
          <w:sz w:val="20"/>
          <w:szCs w:val="20"/>
        </w:rPr>
      </w:pPr>
      <w:r w:rsidRPr="006F3177">
        <w:rPr>
          <w:rFonts w:ascii="Arial" w:hAnsi="Arial" w:cs="Arial"/>
          <w:sz w:val="20"/>
          <w:szCs w:val="20"/>
        </w:rPr>
        <w:t>EPA 4: Enter and discuss orders and prescriptions</w:t>
      </w:r>
      <w:r w:rsidRPr="006F3177">
        <w:rPr>
          <w:rFonts w:ascii="Arial" w:hAnsi="Arial" w:cs="Arial"/>
          <w:sz w:val="20"/>
          <w:szCs w:val="20"/>
        </w:rPr>
        <w:br/>
        <w:t>EPA 7: Form clinical questions and retrieve evidence to advance patient care</w:t>
      </w:r>
    </w:p>
    <w:p w14:paraId="6F9B54EE" w14:textId="6A9FBE7F" w:rsidR="006235D9" w:rsidRPr="006F3177" w:rsidRDefault="006235D9" w:rsidP="006F3177">
      <w:pPr>
        <w:rPr>
          <w:rFonts w:ascii="Arial" w:hAnsi="Arial" w:cs="Arial"/>
          <w:sz w:val="20"/>
          <w:szCs w:val="20"/>
        </w:rPr>
      </w:pPr>
    </w:p>
    <w:p w14:paraId="3B62F798" w14:textId="72D1A45C" w:rsidR="001135D6" w:rsidRPr="006235D9" w:rsidRDefault="005273DD" w:rsidP="006235D9">
      <w:pPr>
        <w:rPr>
          <w:rFonts w:ascii="Arial" w:hAnsi="Arial" w:cs="Arial"/>
          <w:sz w:val="20"/>
          <w:szCs w:val="20"/>
        </w:rPr>
      </w:pPr>
      <w:r w:rsidRPr="006235D9">
        <w:rPr>
          <w:rFonts w:ascii="Arial" w:eastAsia="Times New Roman" w:hAnsi="Arial" w:cs="Arial"/>
          <w:b/>
          <w:bCs/>
          <w:color w:val="000000" w:themeColor="text1"/>
          <w:sz w:val="20"/>
          <w:szCs w:val="20"/>
        </w:rPr>
        <w:t>Program Content and Educational Methods</w:t>
      </w:r>
    </w:p>
    <w:p w14:paraId="43AC9937" w14:textId="77777777" w:rsidR="006F3177" w:rsidRPr="006F3177" w:rsidRDefault="006F3177" w:rsidP="006F3177">
      <w:pPr>
        <w:rPr>
          <w:rFonts w:ascii="Arial" w:hAnsi="Arial" w:cs="Arial"/>
          <w:sz w:val="20"/>
          <w:szCs w:val="20"/>
        </w:rPr>
      </w:pPr>
      <w:r w:rsidRPr="006F3177">
        <w:rPr>
          <w:rFonts w:ascii="Arial" w:hAnsi="Arial" w:cs="Arial"/>
          <w:sz w:val="20"/>
          <w:szCs w:val="20"/>
        </w:rPr>
        <w:t>Our team created two cases that focus on lifestyle medicine, or more specifically nutrition and exercise. One case discusses a patient who would like to lose weight and the other a patient with diabetes. Each case is associated with several questions. During the clerkship, students are provided the cases a few days in advance and are assigned to a particular small group. There are typically 6-8 students in each of the three small groups. Within that small group, students are assigned to one question for each case (often 2-3 students answer each question). The students are asked to investigate the questions/topics, which requires completing a literature search prior to small group. We discuss during the small group that there is very little evidence-based literature for certain topics, particularly some fad diets, but it is still important to review in the process of providing guidance to patients.</w:t>
      </w:r>
    </w:p>
    <w:p w14:paraId="4ACCB98C" w14:textId="77777777" w:rsidR="006F3177" w:rsidRPr="006F3177" w:rsidRDefault="006F3177" w:rsidP="006F3177">
      <w:pPr>
        <w:rPr>
          <w:rFonts w:ascii="Arial" w:hAnsi="Arial" w:cs="Arial"/>
          <w:sz w:val="20"/>
          <w:szCs w:val="20"/>
        </w:rPr>
      </w:pPr>
      <w:r w:rsidRPr="006F3177">
        <w:rPr>
          <w:rFonts w:ascii="Arial" w:hAnsi="Arial" w:cs="Arial"/>
          <w:sz w:val="20"/>
          <w:szCs w:val="20"/>
        </w:rPr>
        <w:br/>
        <w:t xml:space="preserve">A half day is devoted to completing sessions for each case. The small group is provided a </w:t>
      </w:r>
      <w:proofErr w:type="gramStart"/>
      <w:r w:rsidRPr="006F3177">
        <w:rPr>
          <w:rFonts w:ascii="Arial" w:hAnsi="Arial" w:cs="Arial"/>
          <w:sz w:val="20"/>
          <w:szCs w:val="20"/>
        </w:rPr>
        <w:t>45-60 minute</w:t>
      </w:r>
      <w:proofErr w:type="gramEnd"/>
      <w:r w:rsidRPr="006F3177">
        <w:rPr>
          <w:rFonts w:ascii="Arial" w:hAnsi="Arial" w:cs="Arial"/>
          <w:sz w:val="20"/>
          <w:szCs w:val="20"/>
        </w:rPr>
        <w:t xml:space="preserve"> time slot during which they log on to our online meeting system from their clerkship site at various locations throughout the state. Students are able to log on with their smartphone, iPad, or computers. We utilize </w:t>
      </w:r>
      <w:proofErr w:type="spellStart"/>
      <w:r w:rsidRPr="006F3177">
        <w:rPr>
          <w:rFonts w:ascii="Arial" w:hAnsi="Arial" w:cs="Arial"/>
          <w:sz w:val="20"/>
          <w:szCs w:val="20"/>
        </w:rPr>
        <w:t>Webex</w:t>
      </w:r>
      <w:proofErr w:type="spellEnd"/>
      <w:r w:rsidRPr="006F3177">
        <w:rPr>
          <w:rFonts w:ascii="Arial" w:hAnsi="Arial" w:cs="Arial"/>
          <w:sz w:val="20"/>
          <w:szCs w:val="20"/>
        </w:rPr>
        <w:t xml:space="preserve"> for the online web conferencing as this is provided at our university, but Zoom, or other services could be used as well.</w:t>
      </w:r>
    </w:p>
    <w:p w14:paraId="605EBF2A" w14:textId="77777777" w:rsidR="006F3177" w:rsidRPr="006F3177" w:rsidRDefault="006F3177" w:rsidP="006F3177">
      <w:pPr>
        <w:rPr>
          <w:rFonts w:ascii="Arial" w:hAnsi="Arial" w:cs="Arial"/>
          <w:sz w:val="20"/>
          <w:szCs w:val="20"/>
        </w:rPr>
      </w:pPr>
      <w:r w:rsidRPr="006F3177">
        <w:rPr>
          <w:rFonts w:ascii="Arial" w:hAnsi="Arial" w:cs="Arial"/>
          <w:sz w:val="20"/>
          <w:szCs w:val="20"/>
        </w:rPr>
        <w:br/>
        <w:t>We have previously conducted the sessions with two faculty members co-leading. However, most often, one faculty member leads all of the small groups for case one and another faculty member leads the small groups for the second case.</w:t>
      </w:r>
    </w:p>
    <w:p w14:paraId="278A0154" w14:textId="26E133D7" w:rsidR="006F3177" w:rsidRPr="006F3177" w:rsidRDefault="006F3177" w:rsidP="006F3177">
      <w:pPr>
        <w:rPr>
          <w:rFonts w:ascii="Arial" w:hAnsi="Arial" w:cs="Arial"/>
          <w:sz w:val="20"/>
          <w:szCs w:val="20"/>
        </w:rPr>
      </w:pPr>
      <w:r w:rsidRPr="006F3177">
        <w:rPr>
          <w:rFonts w:ascii="Arial" w:hAnsi="Arial" w:cs="Arial"/>
          <w:sz w:val="20"/>
          <w:szCs w:val="20"/>
        </w:rPr>
        <w:br/>
        <w:t>Example of timing:</w:t>
      </w:r>
      <w:r w:rsidRPr="006F3177">
        <w:rPr>
          <w:rFonts w:ascii="Arial" w:hAnsi="Arial" w:cs="Arial"/>
          <w:sz w:val="20"/>
          <w:szCs w:val="20"/>
        </w:rPr>
        <w:br/>
        <w:t>Case 1-Tuesday afternoon.</w:t>
      </w:r>
      <w:r w:rsidRPr="006F3177">
        <w:rPr>
          <w:rFonts w:ascii="Arial" w:hAnsi="Arial" w:cs="Arial"/>
          <w:sz w:val="20"/>
          <w:szCs w:val="20"/>
        </w:rPr>
        <w:br/>
        <w:t>small group 1- 1-1:45.</w:t>
      </w:r>
      <w:r w:rsidRPr="006F3177">
        <w:rPr>
          <w:rFonts w:ascii="Arial" w:hAnsi="Arial" w:cs="Arial"/>
          <w:sz w:val="20"/>
          <w:szCs w:val="20"/>
        </w:rPr>
        <w:br/>
        <w:t>small group 2- 2-2:45.</w:t>
      </w:r>
      <w:r w:rsidRPr="006F3177">
        <w:rPr>
          <w:rFonts w:ascii="Arial" w:hAnsi="Arial" w:cs="Arial"/>
          <w:sz w:val="20"/>
          <w:szCs w:val="20"/>
        </w:rPr>
        <w:br/>
        <w:t>small group 3- 3-3:45.</w:t>
      </w:r>
      <w:r w:rsidRPr="006F3177">
        <w:rPr>
          <w:rFonts w:ascii="Arial" w:hAnsi="Arial" w:cs="Arial"/>
          <w:sz w:val="20"/>
          <w:szCs w:val="20"/>
        </w:rPr>
        <w:br/>
        <w:t>Case 2 would then be the same format but on another half day.</w:t>
      </w:r>
      <w:r w:rsidRPr="006F3177">
        <w:rPr>
          <w:rFonts w:ascii="Arial" w:hAnsi="Arial" w:cs="Arial"/>
          <w:sz w:val="20"/>
          <w:szCs w:val="20"/>
        </w:rPr>
        <w:br/>
      </w:r>
    </w:p>
    <w:p w14:paraId="62CE7EBE" w14:textId="77777777" w:rsidR="006F3177" w:rsidRPr="006F3177" w:rsidRDefault="006F3177" w:rsidP="006F3177">
      <w:pPr>
        <w:rPr>
          <w:rFonts w:ascii="Arial" w:hAnsi="Arial" w:cs="Arial"/>
          <w:sz w:val="20"/>
          <w:szCs w:val="20"/>
        </w:rPr>
      </w:pPr>
      <w:r w:rsidRPr="006F3177">
        <w:rPr>
          <w:rFonts w:ascii="Arial" w:hAnsi="Arial" w:cs="Arial"/>
          <w:sz w:val="20"/>
          <w:szCs w:val="20"/>
        </w:rPr>
        <w:t xml:space="preserve">Only one case-based session is completed per week. Based on student request, the cases are most often completed during weeks 2 and 3 of the </w:t>
      </w:r>
      <w:proofErr w:type="gramStart"/>
      <w:r w:rsidRPr="006F3177">
        <w:rPr>
          <w:rFonts w:ascii="Arial" w:hAnsi="Arial" w:cs="Arial"/>
          <w:sz w:val="20"/>
          <w:szCs w:val="20"/>
        </w:rPr>
        <w:t>6 week</w:t>
      </w:r>
      <w:proofErr w:type="gramEnd"/>
      <w:r w:rsidRPr="006F3177">
        <w:rPr>
          <w:rFonts w:ascii="Arial" w:hAnsi="Arial" w:cs="Arial"/>
          <w:sz w:val="20"/>
          <w:szCs w:val="20"/>
        </w:rPr>
        <w:t xml:space="preserve"> clerkship. The afternoons tend to be least disruptive in the event the student is in a hospital setting that week.</w:t>
      </w:r>
      <w:r w:rsidRPr="006F3177">
        <w:rPr>
          <w:rFonts w:ascii="Arial" w:hAnsi="Arial" w:cs="Arial"/>
          <w:sz w:val="20"/>
          <w:szCs w:val="20"/>
        </w:rPr>
        <w:br/>
      </w:r>
    </w:p>
    <w:p w14:paraId="3EAFC88C" w14:textId="7461B0F4" w:rsidR="006F3177" w:rsidRPr="006F3177" w:rsidRDefault="006F3177" w:rsidP="006F3177">
      <w:pPr>
        <w:rPr>
          <w:rFonts w:ascii="Arial" w:hAnsi="Arial" w:cs="Arial"/>
          <w:sz w:val="20"/>
          <w:szCs w:val="20"/>
        </w:rPr>
      </w:pPr>
      <w:r w:rsidRPr="006F3177">
        <w:rPr>
          <w:rFonts w:ascii="Arial" w:hAnsi="Arial" w:cs="Arial"/>
          <w:sz w:val="20"/>
          <w:szCs w:val="20"/>
        </w:rPr>
        <w:t>During the sessions, the student(s) who reviewed each question presents the findings to the group. If not brought up by the students, there are specific topics mentioned by the facilitator (see guide) and further questions may be asked to encourage discussion. Students often ask how to navigate barriers they have encountered during their clinical activities or share experiences.</w:t>
      </w:r>
    </w:p>
    <w:p w14:paraId="7CD42407" w14:textId="77777777" w:rsidR="006F3177" w:rsidRDefault="006F3177" w:rsidP="005273DD">
      <w:pPr>
        <w:rPr>
          <w:rFonts w:ascii="Arial" w:eastAsia="Times New Roman" w:hAnsi="Arial" w:cs="Arial"/>
          <w:b/>
          <w:bCs/>
          <w:color w:val="000000" w:themeColor="text1"/>
          <w:sz w:val="20"/>
          <w:szCs w:val="20"/>
        </w:rPr>
      </w:pPr>
    </w:p>
    <w:p w14:paraId="0C941E77" w14:textId="288E7967" w:rsidR="005273DD" w:rsidRPr="00C8507B" w:rsidRDefault="005273DD" w:rsidP="005273DD">
      <w:pPr>
        <w:rPr>
          <w:rFonts w:ascii="Arial" w:eastAsia="Times New Roman" w:hAnsi="Arial" w:cs="Arial"/>
          <w:color w:val="000000" w:themeColor="text1"/>
          <w:sz w:val="20"/>
          <w:szCs w:val="20"/>
        </w:rPr>
      </w:pPr>
      <w:r w:rsidRPr="00C8507B">
        <w:rPr>
          <w:rFonts w:ascii="Arial" w:eastAsia="Times New Roman" w:hAnsi="Arial" w:cs="Arial"/>
          <w:b/>
          <w:bCs/>
          <w:color w:val="000000" w:themeColor="text1"/>
          <w:sz w:val="20"/>
          <w:szCs w:val="20"/>
        </w:rPr>
        <w:t>Educational Methods Used in Accordance with the National Clerkship Curriculum.</w:t>
      </w:r>
    </w:p>
    <w:p w14:paraId="54B9BA61" w14:textId="77777777" w:rsidR="006F3177" w:rsidRDefault="006F3177" w:rsidP="005273DD">
      <w:pPr>
        <w:pStyle w:val="ListParagraph"/>
        <w:numPr>
          <w:ilvl w:val="0"/>
          <w:numId w:val="5"/>
        </w:numPr>
        <w:ind w:left="360"/>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Small Group Sessions </w:t>
      </w:r>
    </w:p>
    <w:p w14:paraId="70E62802" w14:textId="206EC64A" w:rsidR="005273DD" w:rsidRDefault="005273DD" w:rsidP="005273DD">
      <w:pPr>
        <w:pStyle w:val="ListParagraph"/>
        <w:numPr>
          <w:ilvl w:val="0"/>
          <w:numId w:val="5"/>
        </w:numPr>
        <w:ind w:left="360"/>
        <w:rPr>
          <w:rFonts w:ascii="Arial" w:eastAsia="Times New Roman" w:hAnsi="Arial" w:cs="Arial"/>
          <w:color w:val="000000" w:themeColor="text1"/>
          <w:sz w:val="20"/>
          <w:szCs w:val="20"/>
        </w:rPr>
      </w:pPr>
      <w:r w:rsidRPr="00C8507B">
        <w:rPr>
          <w:rFonts w:ascii="Arial" w:eastAsia="Times New Roman" w:hAnsi="Arial" w:cs="Arial"/>
          <w:color w:val="000000" w:themeColor="text1"/>
          <w:sz w:val="20"/>
          <w:szCs w:val="20"/>
        </w:rPr>
        <w:t>Case-Based Learning</w:t>
      </w:r>
    </w:p>
    <w:p w14:paraId="4AF8083B" w14:textId="34FA20EA" w:rsidR="005273DD" w:rsidRPr="00C8507B" w:rsidRDefault="005273DD" w:rsidP="005273DD">
      <w:pPr>
        <w:rPr>
          <w:rFonts w:ascii="Arial" w:eastAsia="Times New Roman" w:hAnsi="Arial" w:cs="Arial"/>
          <w:color w:val="000000" w:themeColor="text1"/>
          <w:sz w:val="20"/>
          <w:szCs w:val="20"/>
        </w:rPr>
      </w:pPr>
    </w:p>
    <w:p w14:paraId="40528E15" w14:textId="7774D27C" w:rsidR="005273DD" w:rsidRDefault="005273DD" w:rsidP="005273DD">
      <w:pPr>
        <w:rPr>
          <w:rFonts w:ascii="Arial" w:eastAsia="Times New Roman" w:hAnsi="Arial" w:cs="Arial"/>
          <w:b/>
          <w:bCs/>
          <w:color w:val="000000" w:themeColor="text1"/>
          <w:sz w:val="20"/>
          <w:szCs w:val="20"/>
        </w:rPr>
      </w:pPr>
      <w:r w:rsidRPr="00C8507B">
        <w:rPr>
          <w:rFonts w:ascii="Arial" w:eastAsia="Times New Roman" w:hAnsi="Arial" w:cs="Arial"/>
          <w:b/>
          <w:bCs/>
          <w:color w:val="000000" w:themeColor="text1"/>
          <w:sz w:val="20"/>
          <w:szCs w:val="20"/>
        </w:rPr>
        <w:t>Assessment Strategies to Achieve Outcomes</w:t>
      </w:r>
    </w:p>
    <w:p w14:paraId="425C1717" w14:textId="77777777" w:rsidR="006F3177" w:rsidRDefault="006F3177" w:rsidP="006F3177">
      <w:pPr>
        <w:rPr>
          <w:rFonts w:ascii="Arial" w:hAnsi="Arial" w:cs="Arial"/>
          <w:sz w:val="20"/>
          <w:szCs w:val="20"/>
        </w:rPr>
      </w:pPr>
      <w:r w:rsidRPr="006F3177">
        <w:rPr>
          <w:rFonts w:ascii="Arial" w:hAnsi="Arial" w:cs="Arial"/>
          <w:sz w:val="20"/>
          <w:szCs w:val="20"/>
        </w:rPr>
        <w:t>The students must present their answers to the questions to the group so that it is clear a literature search (or appropriate inquiry into the question) has been completed. Currently, there is no additional graded assessment. For the future, we are considering adding an end of clerkship knowledge evaluation (written or in a standardized patient encounter) to assess retention/application of the information.</w:t>
      </w:r>
      <w:r w:rsidRPr="006F3177">
        <w:rPr>
          <w:rFonts w:ascii="Arial" w:hAnsi="Arial" w:cs="Arial"/>
          <w:sz w:val="20"/>
          <w:szCs w:val="20"/>
        </w:rPr>
        <w:br/>
        <w:t xml:space="preserve">Though not necessary for the curriculum, during the initial year, we assessed the students’ attitudes regarding the importance of a lifestyle medicine curriculum through a non-mandated pre-and post-survey. </w:t>
      </w:r>
    </w:p>
    <w:p w14:paraId="608264A7" w14:textId="055C5601" w:rsidR="006F3177" w:rsidRDefault="006F3177" w:rsidP="006F3177">
      <w:pPr>
        <w:rPr>
          <w:rFonts w:ascii="Arial" w:hAnsi="Arial" w:cs="Arial"/>
          <w:sz w:val="20"/>
          <w:szCs w:val="20"/>
        </w:rPr>
      </w:pPr>
      <w:r w:rsidRPr="006F3177">
        <w:rPr>
          <w:rFonts w:ascii="Arial" w:hAnsi="Arial" w:cs="Arial"/>
          <w:sz w:val="20"/>
          <w:szCs w:val="20"/>
        </w:rPr>
        <w:t>This information is being utilized for an educational research project.</w:t>
      </w:r>
      <w:r w:rsidRPr="006F3177">
        <w:rPr>
          <w:rFonts w:ascii="Arial" w:hAnsi="Arial" w:cs="Arial"/>
          <w:sz w:val="20"/>
          <w:szCs w:val="20"/>
        </w:rPr>
        <w:br/>
      </w:r>
    </w:p>
    <w:p w14:paraId="75043E27" w14:textId="423AB018" w:rsidR="006F3177" w:rsidRPr="006F3177" w:rsidRDefault="006F3177" w:rsidP="006F3177">
      <w:pPr>
        <w:rPr>
          <w:rFonts w:ascii="Arial" w:hAnsi="Arial" w:cs="Arial"/>
          <w:sz w:val="20"/>
          <w:szCs w:val="20"/>
        </w:rPr>
      </w:pPr>
      <w:r w:rsidRPr="006F3177">
        <w:rPr>
          <w:rFonts w:ascii="Arial" w:hAnsi="Arial" w:cs="Arial"/>
          <w:sz w:val="20"/>
          <w:szCs w:val="20"/>
        </w:rPr>
        <w:t>Though the survey is 45 questions, the NIPS did allow discovery of variation in student beliefs pre and post small group session (see Lessons Learned). It is possible that there would have been a higher survey completion rate had it been more concise. That being said, a shorter, internally created survey could also be useful to obtain information regarding student attitudes.</w:t>
      </w:r>
    </w:p>
    <w:p w14:paraId="04458023" w14:textId="5903774A" w:rsidR="00FC6D09" w:rsidRPr="00FC6D09" w:rsidRDefault="00FC6D09" w:rsidP="00FC6D09">
      <w:pPr>
        <w:rPr>
          <w:rFonts w:ascii="Times New Roman" w:eastAsia="Times New Roman" w:hAnsi="Times New Roman" w:cs="Times New Roman"/>
          <w:sz w:val="20"/>
          <w:szCs w:val="20"/>
        </w:rPr>
      </w:pPr>
      <w:r w:rsidRPr="00FC6D09">
        <w:rPr>
          <w:rFonts w:ascii="Arial" w:eastAsia="Times New Roman" w:hAnsi="Arial" w:cs="Arial"/>
          <w:color w:val="606060"/>
          <w:sz w:val="20"/>
          <w:szCs w:val="20"/>
          <w:shd w:val="clear" w:color="auto" w:fill="FFFFFF"/>
        </w:rPr>
        <w:t>.</w:t>
      </w:r>
    </w:p>
    <w:p w14:paraId="2D0087B6" w14:textId="707B0D44" w:rsidR="005273DD" w:rsidRPr="00C8507B" w:rsidRDefault="005273DD" w:rsidP="005273DD">
      <w:pPr>
        <w:rPr>
          <w:rFonts w:ascii="Arial" w:eastAsia="Times New Roman" w:hAnsi="Arial" w:cs="Arial"/>
          <w:color w:val="000000" w:themeColor="text1"/>
          <w:sz w:val="20"/>
          <w:szCs w:val="20"/>
        </w:rPr>
      </w:pPr>
    </w:p>
    <w:p w14:paraId="46E6C9B4" w14:textId="6EA7E34D" w:rsidR="005273DD" w:rsidRPr="00C8507B" w:rsidRDefault="005273DD" w:rsidP="005273DD">
      <w:pPr>
        <w:rPr>
          <w:rFonts w:ascii="Arial" w:eastAsia="Times New Roman" w:hAnsi="Arial" w:cs="Arial"/>
          <w:b/>
          <w:bCs/>
          <w:color w:val="000000" w:themeColor="text1"/>
          <w:sz w:val="20"/>
          <w:szCs w:val="20"/>
        </w:rPr>
      </w:pPr>
      <w:r w:rsidRPr="00C8507B">
        <w:rPr>
          <w:rFonts w:ascii="Arial" w:eastAsia="Times New Roman" w:hAnsi="Arial" w:cs="Arial"/>
          <w:b/>
          <w:bCs/>
          <w:color w:val="000000" w:themeColor="text1"/>
          <w:sz w:val="20"/>
          <w:szCs w:val="20"/>
        </w:rPr>
        <w:t>Strategies Used in Accordance with the National Clerkship Curriculum</w:t>
      </w:r>
    </w:p>
    <w:p w14:paraId="66A61F09" w14:textId="25C24179" w:rsidR="005273DD" w:rsidRDefault="005273DD" w:rsidP="005273DD">
      <w:pPr>
        <w:pStyle w:val="ListParagraph"/>
        <w:numPr>
          <w:ilvl w:val="0"/>
          <w:numId w:val="7"/>
        </w:numPr>
        <w:ind w:left="360"/>
        <w:rPr>
          <w:rFonts w:ascii="Arial" w:eastAsia="Times New Roman" w:hAnsi="Arial" w:cs="Arial"/>
          <w:color w:val="000000" w:themeColor="text1"/>
          <w:sz w:val="20"/>
          <w:szCs w:val="20"/>
        </w:rPr>
      </w:pPr>
      <w:r w:rsidRPr="00C8507B">
        <w:rPr>
          <w:rFonts w:ascii="Arial" w:eastAsia="Times New Roman" w:hAnsi="Arial" w:cs="Arial"/>
          <w:color w:val="000000" w:themeColor="text1"/>
          <w:sz w:val="20"/>
          <w:szCs w:val="20"/>
        </w:rPr>
        <w:t>Student Assessment &amp; Evaluation (Are your students learning?)</w:t>
      </w:r>
    </w:p>
    <w:p w14:paraId="47E81D41" w14:textId="43025A33" w:rsidR="006F3177" w:rsidRPr="006F3177" w:rsidRDefault="006F3177" w:rsidP="006F3177">
      <w:pPr>
        <w:pStyle w:val="ListParagraph"/>
        <w:numPr>
          <w:ilvl w:val="0"/>
          <w:numId w:val="7"/>
        </w:numPr>
        <w:ind w:left="360"/>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Developing an Educational Research Program (Applying research to your clinical programs)</w:t>
      </w:r>
    </w:p>
    <w:p w14:paraId="46B4462F" w14:textId="04F49138" w:rsidR="005273DD" w:rsidRPr="00C8507B" w:rsidRDefault="005273DD" w:rsidP="005273DD">
      <w:pPr>
        <w:rPr>
          <w:rFonts w:ascii="Arial" w:eastAsia="Times New Roman" w:hAnsi="Arial" w:cs="Arial"/>
          <w:color w:val="000000" w:themeColor="text1"/>
          <w:sz w:val="20"/>
          <w:szCs w:val="20"/>
        </w:rPr>
      </w:pPr>
    </w:p>
    <w:p w14:paraId="39AECAEE" w14:textId="36B6CAB3" w:rsidR="006F3177" w:rsidRPr="006F3177" w:rsidRDefault="005273DD" w:rsidP="00FC6D09">
      <w:pPr>
        <w:rPr>
          <w:rFonts w:ascii="Arial" w:eastAsia="Times New Roman" w:hAnsi="Arial" w:cs="Arial"/>
          <w:b/>
          <w:bCs/>
          <w:color w:val="000000" w:themeColor="text1"/>
          <w:sz w:val="20"/>
          <w:szCs w:val="20"/>
        </w:rPr>
      </w:pPr>
      <w:r w:rsidRPr="00C8507B">
        <w:rPr>
          <w:rFonts w:ascii="Arial" w:eastAsia="Times New Roman" w:hAnsi="Arial" w:cs="Arial"/>
          <w:b/>
          <w:bCs/>
          <w:color w:val="000000" w:themeColor="text1"/>
          <w:sz w:val="20"/>
          <w:szCs w:val="20"/>
        </w:rPr>
        <w:t>Lessons Learned</w:t>
      </w:r>
    </w:p>
    <w:p w14:paraId="7AEE6A82" w14:textId="77777777" w:rsidR="006F3177" w:rsidRDefault="006F3177" w:rsidP="006F3177">
      <w:pPr>
        <w:rPr>
          <w:rFonts w:ascii="Arial" w:hAnsi="Arial" w:cs="Arial"/>
          <w:sz w:val="20"/>
          <w:szCs w:val="20"/>
        </w:rPr>
      </w:pPr>
      <w:r w:rsidRPr="006F3177">
        <w:rPr>
          <w:rFonts w:ascii="Arial" w:hAnsi="Arial" w:cs="Arial"/>
          <w:sz w:val="20"/>
          <w:szCs w:val="20"/>
        </w:rPr>
        <w:t>We piloted this with a group of students prior to becoming a mandatory curricular component. It was discovered that though students are technologically savvy, it is very helpful to have the students practice using the online web conferencing system prior to the first small group session. Our clerkship coordinator set up a time for students to check in and troubleshoot so that it didn't interfere with the educational experience.</w:t>
      </w:r>
      <w:r w:rsidRPr="006F3177">
        <w:rPr>
          <w:rFonts w:ascii="Arial" w:hAnsi="Arial" w:cs="Arial"/>
          <w:sz w:val="20"/>
          <w:szCs w:val="20"/>
        </w:rPr>
        <w:br/>
      </w:r>
    </w:p>
    <w:p w14:paraId="64A858D9" w14:textId="77777777" w:rsidR="006F3177" w:rsidRDefault="006F3177" w:rsidP="006F3177">
      <w:pPr>
        <w:rPr>
          <w:rFonts w:ascii="Arial" w:hAnsi="Arial" w:cs="Arial"/>
          <w:sz w:val="20"/>
          <w:szCs w:val="20"/>
        </w:rPr>
      </w:pPr>
      <w:r w:rsidRPr="006F3177">
        <w:rPr>
          <w:rFonts w:ascii="Arial" w:hAnsi="Arial" w:cs="Arial"/>
          <w:sz w:val="20"/>
          <w:szCs w:val="20"/>
        </w:rPr>
        <w:t>Feedback regarding content has been collected during end of rotation feedback sessions.</w:t>
      </w:r>
      <w:r w:rsidRPr="006F3177">
        <w:rPr>
          <w:rFonts w:ascii="Arial" w:hAnsi="Arial" w:cs="Arial"/>
          <w:sz w:val="20"/>
          <w:szCs w:val="20"/>
        </w:rPr>
        <w:br/>
        <w:t xml:space="preserve">The preliminary attitudes data from the course (obtained through the Nutrition in Patient Care Survey, developed by </w:t>
      </w:r>
      <w:proofErr w:type="spellStart"/>
      <w:r w:rsidRPr="006F3177">
        <w:rPr>
          <w:rFonts w:ascii="Arial" w:hAnsi="Arial" w:cs="Arial"/>
          <w:sz w:val="20"/>
          <w:szCs w:val="20"/>
        </w:rPr>
        <w:t>McGahie</w:t>
      </w:r>
      <w:proofErr w:type="spellEnd"/>
      <w:r w:rsidRPr="006F3177">
        <w:rPr>
          <w:rFonts w:ascii="Arial" w:hAnsi="Arial" w:cs="Arial"/>
          <w:sz w:val="20"/>
          <w:szCs w:val="20"/>
        </w:rPr>
        <w:t xml:space="preserve"> et al, 2001) and an in-house created nutritional background survey was presented at the 2018 STFM Medical Education conference. We plan to submit the attitudes data for publication after the completion of a complete academic year.</w:t>
      </w:r>
      <w:r w:rsidRPr="006F3177">
        <w:rPr>
          <w:rFonts w:ascii="Arial" w:hAnsi="Arial" w:cs="Arial"/>
          <w:sz w:val="20"/>
          <w:szCs w:val="20"/>
        </w:rPr>
        <w:br/>
      </w:r>
    </w:p>
    <w:p w14:paraId="32C5D31C" w14:textId="77777777" w:rsidR="006F3177" w:rsidRDefault="006F3177" w:rsidP="006F3177">
      <w:pPr>
        <w:rPr>
          <w:rFonts w:ascii="Arial" w:hAnsi="Arial" w:cs="Arial"/>
          <w:sz w:val="20"/>
          <w:szCs w:val="20"/>
        </w:rPr>
      </w:pPr>
      <w:r w:rsidRPr="006F3177">
        <w:rPr>
          <w:rFonts w:ascii="Arial" w:hAnsi="Arial" w:cs="Arial"/>
          <w:sz w:val="20"/>
          <w:szCs w:val="20"/>
        </w:rPr>
        <w:t>Preliminarily, the Nutrition in Patient Care Survey (NIPS) utilized as the pre-test showed that students who had a prior instruction in nutrition were significantly more confident that patients could make positive change prior to developing medical symptoms. However, after the small group sessions, at which time all students would be considered to have nutrition education, this statistical significance was no longer present indicating students were similarly confident in a patient’s ability to change before developing significant medical issues.</w:t>
      </w:r>
      <w:r w:rsidRPr="006F3177">
        <w:rPr>
          <w:rFonts w:ascii="Arial" w:hAnsi="Arial" w:cs="Arial"/>
          <w:sz w:val="20"/>
          <w:szCs w:val="20"/>
        </w:rPr>
        <w:br/>
      </w:r>
    </w:p>
    <w:p w14:paraId="4A643E29" w14:textId="29656AFA" w:rsidR="006F3177" w:rsidRPr="006F3177" w:rsidRDefault="006F3177" w:rsidP="006F3177">
      <w:pPr>
        <w:rPr>
          <w:rFonts w:ascii="Arial" w:hAnsi="Arial" w:cs="Arial"/>
          <w:sz w:val="20"/>
          <w:szCs w:val="20"/>
        </w:rPr>
      </w:pPr>
      <w:r w:rsidRPr="006F3177">
        <w:rPr>
          <w:rFonts w:ascii="Arial" w:hAnsi="Arial" w:cs="Arial"/>
          <w:sz w:val="20"/>
          <w:szCs w:val="20"/>
        </w:rPr>
        <w:t>Both the physician-patient relationship and physician efficacy portions of the survey were rated more highly after completion of the nutrition curriculum. The physician efficacy subscale addresses items as expected by the title, i.e. will the physician’s efforts in counseling patients be beneficial. The physician-patient relationship scale focuses on attitudes regarding both patient motivation and steps needed to help them adopt healthy changes.</w:t>
      </w:r>
    </w:p>
    <w:p w14:paraId="3C21B8F6" w14:textId="77777777" w:rsidR="006F3177" w:rsidRPr="006F3177" w:rsidRDefault="006F3177" w:rsidP="006F3177">
      <w:pPr>
        <w:rPr>
          <w:rFonts w:ascii="Arial" w:hAnsi="Arial" w:cs="Arial"/>
          <w:sz w:val="20"/>
          <w:szCs w:val="20"/>
        </w:rPr>
      </w:pPr>
    </w:p>
    <w:p w14:paraId="6177122A" w14:textId="4969F12D" w:rsidR="005273DD" w:rsidRPr="00C8507B" w:rsidRDefault="005273DD" w:rsidP="00FC6D09">
      <w:pPr>
        <w:rPr>
          <w:rFonts w:ascii="Arial" w:eastAsia="Times New Roman" w:hAnsi="Arial" w:cs="Arial"/>
          <w:color w:val="000000" w:themeColor="text1"/>
          <w:sz w:val="20"/>
          <w:szCs w:val="20"/>
        </w:rPr>
      </w:pPr>
    </w:p>
    <w:p w14:paraId="4E6B33E9" w14:textId="7FFED889" w:rsidR="006F3177" w:rsidRPr="006F3177" w:rsidRDefault="005273DD" w:rsidP="00FC6D09">
      <w:pPr>
        <w:rPr>
          <w:rStyle w:val="Hyperlink"/>
          <w:rFonts w:ascii="Arial" w:eastAsia="Times New Roman" w:hAnsi="Arial" w:cs="Arial"/>
          <w:color w:val="000000" w:themeColor="text1"/>
          <w:sz w:val="20"/>
          <w:szCs w:val="20"/>
          <w:u w:val="none"/>
        </w:rPr>
      </w:pPr>
      <w:r w:rsidRPr="00C8507B">
        <w:rPr>
          <w:rFonts w:ascii="Arial" w:eastAsia="Times New Roman" w:hAnsi="Arial" w:cs="Arial"/>
          <w:b/>
          <w:bCs/>
          <w:color w:val="000000" w:themeColor="text1"/>
          <w:sz w:val="20"/>
          <w:szCs w:val="20"/>
        </w:rPr>
        <w:t>Explanation of Appendices</w:t>
      </w:r>
    </w:p>
    <w:p w14:paraId="3EC419E1" w14:textId="77777777" w:rsidR="006F3177" w:rsidRPr="006F3177" w:rsidRDefault="006F3177" w:rsidP="006F3177">
      <w:pPr>
        <w:rPr>
          <w:rFonts w:ascii="Times New Roman" w:eastAsia="Times New Roman" w:hAnsi="Times New Roman" w:cs="Times New Roman"/>
        </w:rPr>
      </w:pPr>
      <w:r w:rsidRPr="006F3177">
        <w:rPr>
          <w:rFonts w:ascii="Arial" w:eastAsia="Times New Roman" w:hAnsi="Arial" w:cs="Arial"/>
          <w:color w:val="606060"/>
          <w:sz w:val="21"/>
          <w:szCs w:val="21"/>
          <w:shd w:val="clear" w:color="auto" w:fill="FFFFFF"/>
        </w:rPr>
        <w:t>Appendix A/Curriculum: Cases with questions and corresponding facilitator guides. </w:t>
      </w:r>
    </w:p>
    <w:p w14:paraId="54FC55E2" w14:textId="77777777" w:rsidR="006F3177" w:rsidRPr="00FC6D09" w:rsidRDefault="006F3177" w:rsidP="00FC6D09">
      <w:pPr>
        <w:rPr>
          <w:rFonts w:ascii="Times New Roman" w:eastAsia="Times New Roman" w:hAnsi="Times New Roman" w:cs="Times New Roman"/>
          <w:sz w:val="20"/>
          <w:szCs w:val="20"/>
        </w:rPr>
      </w:pPr>
    </w:p>
    <w:p w14:paraId="0A7241E9" w14:textId="31D62965" w:rsidR="006235D9" w:rsidRDefault="006235D9" w:rsidP="005273DD">
      <w:pPr>
        <w:rPr>
          <w:rFonts w:ascii="Times New Roman" w:eastAsia="Times New Roman" w:hAnsi="Times New Roman" w:cs="Times New Roman"/>
          <w:sz w:val="20"/>
          <w:szCs w:val="20"/>
        </w:rPr>
      </w:pPr>
    </w:p>
    <w:p w14:paraId="497E37A7" w14:textId="4F4AFA54" w:rsidR="00916F8D" w:rsidRPr="006235D9" w:rsidRDefault="00916F8D" w:rsidP="005273DD">
      <w:pPr>
        <w:rPr>
          <w:rFonts w:ascii="Times New Roman" w:eastAsia="Times New Roman" w:hAnsi="Times New Roman" w:cs="Times New Roman"/>
          <w:sz w:val="20"/>
          <w:szCs w:val="20"/>
        </w:rPr>
      </w:pPr>
      <w:r w:rsidRPr="00C8507B">
        <w:rPr>
          <w:rFonts w:ascii="Arial" w:eastAsia="Times New Roman" w:hAnsi="Arial" w:cs="Arial"/>
          <w:b/>
          <w:bCs/>
          <w:color w:val="000000" w:themeColor="text1"/>
          <w:sz w:val="20"/>
          <w:szCs w:val="20"/>
        </w:rPr>
        <w:t>References:</w:t>
      </w:r>
    </w:p>
    <w:p w14:paraId="30907E54" w14:textId="324B274C" w:rsidR="00916F8D" w:rsidRPr="00C8507B" w:rsidRDefault="00916F8D" w:rsidP="005273DD">
      <w:pPr>
        <w:rPr>
          <w:rFonts w:ascii="Arial" w:eastAsia="Times New Roman" w:hAnsi="Arial" w:cs="Arial"/>
          <w:b/>
          <w:bCs/>
          <w:color w:val="000000" w:themeColor="text1"/>
          <w:sz w:val="20"/>
          <w:szCs w:val="20"/>
        </w:rPr>
      </w:pPr>
    </w:p>
    <w:p w14:paraId="6D05DED6" w14:textId="77777777" w:rsidR="006235D9" w:rsidRPr="006235D9" w:rsidRDefault="006235D9" w:rsidP="006235D9">
      <w:pPr>
        <w:pStyle w:val="ListParagraph"/>
        <w:numPr>
          <w:ilvl w:val="0"/>
          <w:numId w:val="21"/>
        </w:numPr>
        <w:rPr>
          <w:rFonts w:ascii="Arial" w:hAnsi="Arial" w:cs="Arial"/>
          <w:b/>
          <w:bCs/>
          <w:color w:val="000000" w:themeColor="text1"/>
          <w:sz w:val="20"/>
          <w:szCs w:val="20"/>
        </w:rPr>
      </w:pPr>
      <w:r w:rsidRPr="006235D9">
        <w:rPr>
          <w:rFonts w:ascii="Arial" w:eastAsia="Times New Roman" w:hAnsi="Arial" w:cs="Arial"/>
          <w:color w:val="000000"/>
          <w:sz w:val="20"/>
          <w:szCs w:val="20"/>
        </w:rPr>
        <w:t>Kaplan A. Canadian guidelines for acute bacterial rhinosinusitis: Clinical summary. Canadian Family Physician. 2014;60(3):227-234.</w:t>
      </w:r>
    </w:p>
    <w:p w14:paraId="640E3D30" w14:textId="77777777" w:rsidR="006235D9" w:rsidRPr="006235D9" w:rsidRDefault="006235D9" w:rsidP="006235D9">
      <w:pPr>
        <w:pStyle w:val="ListParagraph"/>
        <w:numPr>
          <w:ilvl w:val="0"/>
          <w:numId w:val="21"/>
        </w:numPr>
        <w:rPr>
          <w:rFonts w:ascii="Arial" w:hAnsi="Arial" w:cs="Arial"/>
          <w:b/>
          <w:bCs/>
          <w:color w:val="000000" w:themeColor="text1"/>
          <w:sz w:val="20"/>
          <w:szCs w:val="20"/>
        </w:rPr>
      </w:pPr>
      <w:proofErr w:type="spellStart"/>
      <w:r w:rsidRPr="006235D9">
        <w:rPr>
          <w:rFonts w:ascii="Arial" w:eastAsia="Times New Roman" w:hAnsi="Arial" w:cs="Arial"/>
          <w:color w:val="000000"/>
          <w:sz w:val="20"/>
          <w:szCs w:val="20"/>
        </w:rPr>
        <w:t>Soor</w:t>
      </w:r>
      <w:proofErr w:type="spellEnd"/>
      <w:r w:rsidRPr="006235D9">
        <w:rPr>
          <w:rFonts w:ascii="Arial" w:eastAsia="Times New Roman" w:hAnsi="Arial" w:cs="Arial"/>
          <w:color w:val="000000"/>
          <w:sz w:val="20"/>
          <w:szCs w:val="20"/>
        </w:rPr>
        <w:t xml:space="preserve"> G, </w:t>
      </w:r>
      <w:proofErr w:type="spellStart"/>
      <w:r w:rsidRPr="006235D9">
        <w:rPr>
          <w:rFonts w:ascii="Arial" w:eastAsia="Times New Roman" w:hAnsi="Arial" w:cs="Arial"/>
          <w:color w:val="000000"/>
          <w:sz w:val="20"/>
          <w:szCs w:val="20"/>
        </w:rPr>
        <w:t>Tirko</w:t>
      </w:r>
      <w:proofErr w:type="spellEnd"/>
      <w:r w:rsidRPr="006235D9">
        <w:rPr>
          <w:rFonts w:ascii="Arial" w:eastAsia="Times New Roman" w:hAnsi="Arial" w:cs="Arial"/>
          <w:color w:val="000000"/>
          <w:sz w:val="20"/>
          <w:szCs w:val="20"/>
        </w:rPr>
        <w:t xml:space="preserve"> S. Acute Otitis Media One-Page Primer. DFCM Open. 2011. Available at: http://dfcmopen.com. Attribution CC BY-NC-ND</w:t>
      </w:r>
    </w:p>
    <w:p w14:paraId="20D397CB" w14:textId="06310B07" w:rsidR="006235D9" w:rsidRPr="006235D9" w:rsidRDefault="006235D9" w:rsidP="006235D9">
      <w:pPr>
        <w:pStyle w:val="ListParagraph"/>
        <w:numPr>
          <w:ilvl w:val="0"/>
          <w:numId w:val="21"/>
        </w:numPr>
        <w:rPr>
          <w:rFonts w:ascii="Arial" w:hAnsi="Arial" w:cs="Arial"/>
          <w:b/>
          <w:bCs/>
          <w:color w:val="000000" w:themeColor="text1"/>
          <w:sz w:val="20"/>
          <w:szCs w:val="20"/>
        </w:rPr>
      </w:pPr>
      <w:r w:rsidRPr="006235D9">
        <w:rPr>
          <w:rFonts w:ascii="Arial" w:eastAsia="Times New Roman" w:hAnsi="Arial" w:cs="Arial"/>
          <w:color w:val="000000"/>
          <w:sz w:val="20"/>
          <w:szCs w:val="20"/>
        </w:rPr>
        <w:t xml:space="preserve">British Columbia Ministry of Health Services. Otitis Media: Acute Otitis Media (AOM) &amp; Otitis Media with Effusion (OME). Effective Date Jan 1, 2010. Available at: </w:t>
      </w:r>
      <w:hyperlink r:id="rId7" w:history="1">
        <w:r w:rsidRPr="006235D9">
          <w:rPr>
            <w:rStyle w:val="Hyperlink"/>
            <w:rFonts w:ascii="Arial" w:eastAsia="Times New Roman" w:hAnsi="Arial" w:cs="Arial"/>
            <w:sz w:val="20"/>
            <w:szCs w:val="20"/>
          </w:rPr>
          <w:t>http://www2.gov.bc.ca/gov/content/health</w:t>
        </w:r>
      </w:hyperlink>
    </w:p>
    <w:p w14:paraId="52B21EC1" w14:textId="77777777" w:rsidR="006235D9" w:rsidRPr="006235D9" w:rsidRDefault="006235D9" w:rsidP="006235D9">
      <w:pPr>
        <w:pStyle w:val="ListParagraph"/>
        <w:numPr>
          <w:ilvl w:val="0"/>
          <w:numId w:val="21"/>
        </w:numPr>
        <w:rPr>
          <w:rFonts w:ascii="Arial" w:hAnsi="Arial" w:cs="Arial"/>
          <w:b/>
          <w:bCs/>
          <w:color w:val="000000" w:themeColor="text1"/>
          <w:sz w:val="20"/>
          <w:szCs w:val="20"/>
        </w:rPr>
      </w:pPr>
      <w:proofErr w:type="spellStart"/>
      <w:r w:rsidRPr="006235D9">
        <w:rPr>
          <w:rFonts w:ascii="Arial" w:eastAsia="Times New Roman" w:hAnsi="Arial" w:cs="Arial"/>
          <w:color w:val="000000"/>
          <w:sz w:val="20"/>
          <w:szCs w:val="20"/>
        </w:rPr>
        <w:t>Centor</w:t>
      </w:r>
      <w:proofErr w:type="spellEnd"/>
      <w:r w:rsidRPr="006235D9">
        <w:rPr>
          <w:rFonts w:ascii="Arial" w:eastAsia="Times New Roman" w:hAnsi="Arial" w:cs="Arial"/>
          <w:color w:val="000000"/>
          <w:sz w:val="20"/>
          <w:szCs w:val="20"/>
        </w:rPr>
        <w:t xml:space="preserve"> RM, Witherspoon JM, Dalton HP, Brody CE, Link K. The diagnosis of strep throat in adults in the emergency room. Med </w:t>
      </w:r>
      <w:proofErr w:type="spellStart"/>
      <w:r w:rsidRPr="006235D9">
        <w:rPr>
          <w:rFonts w:ascii="Arial" w:eastAsia="Times New Roman" w:hAnsi="Arial" w:cs="Arial"/>
          <w:color w:val="000000"/>
          <w:sz w:val="20"/>
          <w:szCs w:val="20"/>
        </w:rPr>
        <w:t>Decis</w:t>
      </w:r>
      <w:proofErr w:type="spellEnd"/>
      <w:r w:rsidRPr="006235D9">
        <w:rPr>
          <w:rFonts w:ascii="Arial" w:eastAsia="Times New Roman" w:hAnsi="Arial" w:cs="Arial"/>
          <w:color w:val="000000"/>
          <w:sz w:val="20"/>
          <w:szCs w:val="20"/>
        </w:rPr>
        <w:t xml:space="preserve"> Making.1981;1:239-246</w:t>
      </w:r>
    </w:p>
    <w:p w14:paraId="36757ABE" w14:textId="77777777" w:rsidR="006235D9" w:rsidRPr="006235D9" w:rsidRDefault="006235D9" w:rsidP="006235D9">
      <w:pPr>
        <w:pStyle w:val="ListParagraph"/>
        <w:numPr>
          <w:ilvl w:val="0"/>
          <w:numId w:val="21"/>
        </w:numPr>
        <w:rPr>
          <w:rFonts w:ascii="Arial" w:hAnsi="Arial" w:cs="Arial"/>
          <w:b/>
          <w:bCs/>
          <w:color w:val="000000" w:themeColor="text1"/>
          <w:sz w:val="20"/>
          <w:szCs w:val="20"/>
        </w:rPr>
      </w:pPr>
      <w:proofErr w:type="spellStart"/>
      <w:r w:rsidRPr="006235D9">
        <w:rPr>
          <w:rFonts w:ascii="Arial" w:eastAsia="Times New Roman" w:hAnsi="Arial" w:cs="Arial"/>
          <w:color w:val="000000"/>
          <w:sz w:val="20"/>
          <w:szCs w:val="20"/>
        </w:rPr>
        <w:t>Kitto</w:t>
      </w:r>
      <w:proofErr w:type="spellEnd"/>
      <w:r w:rsidRPr="006235D9">
        <w:rPr>
          <w:rFonts w:ascii="Arial" w:eastAsia="Times New Roman" w:hAnsi="Arial" w:cs="Arial"/>
          <w:color w:val="000000"/>
          <w:sz w:val="20"/>
          <w:szCs w:val="20"/>
        </w:rPr>
        <w:t xml:space="preserve"> K, </w:t>
      </w:r>
      <w:proofErr w:type="spellStart"/>
      <w:r w:rsidRPr="006235D9">
        <w:rPr>
          <w:rFonts w:ascii="Arial" w:eastAsia="Times New Roman" w:hAnsi="Arial" w:cs="Arial"/>
          <w:color w:val="000000"/>
          <w:sz w:val="20"/>
          <w:szCs w:val="20"/>
        </w:rPr>
        <w:t>Colledge</w:t>
      </w:r>
      <w:proofErr w:type="spellEnd"/>
      <w:r w:rsidRPr="006235D9">
        <w:rPr>
          <w:rFonts w:ascii="Arial" w:eastAsia="Times New Roman" w:hAnsi="Arial" w:cs="Arial"/>
          <w:color w:val="000000"/>
          <w:sz w:val="20"/>
          <w:szCs w:val="20"/>
        </w:rPr>
        <w:t xml:space="preserve"> E. Urinary Tract Infections in Adults One-Page Primer. DFCM Open. 2014. Available at https://dfcmopen.com. Attribution-</w:t>
      </w:r>
      <w:proofErr w:type="spellStart"/>
      <w:r w:rsidRPr="006235D9">
        <w:rPr>
          <w:rFonts w:ascii="Arial" w:eastAsia="Times New Roman" w:hAnsi="Arial" w:cs="Arial"/>
          <w:color w:val="000000"/>
          <w:sz w:val="20"/>
          <w:szCs w:val="20"/>
        </w:rPr>
        <w:t>NonCommercial</w:t>
      </w:r>
      <w:proofErr w:type="spellEnd"/>
      <w:r w:rsidRPr="006235D9">
        <w:rPr>
          <w:rFonts w:ascii="Arial" w:eastAsia="Times New Roman" w:hAnsi="Arial" w:cs="Arial"/>
          <w:color w:val="000000"/>
          <w:sz w:val="20"/>
          <w:szCs w:val="20"/>
        </w:rPr>
        <w:t>-</w:t>
      </w:r>
      <w:proofErr w:type="spellStart"/>
      <w:r w:rsidRPr="006235D9">
        <w:rPr>
          <w:rFonts w:ascii="Arial" w:eastAsia="Times New Roman" w:hAnsi="Arial" w:cs="Arial"/>
          <w:color w:val="000000"/>
          <w:sz w:val="20"/>
          <w:szCs w:val="20"/>
        </w:rPr>
        <w:t>NoDerivs</w:t>
      </w:r>
      <w:proofErr w:type="spellEnd"/>
      <w:r w:rsidRPr="006235D9">
        <w:rPr>
          <w:rFonts w:ascii="Arial" w:eastAsia="Times New Roman" w:hAnsi="Arial" w:cs="Arial"/>
          <w:color w:val="000000"/>
          <w:sz w:val="20"/>
          <w:szCs w:val="20"/>
        </w:rPr>
        <w:t xml:space="preserve"> CC BY-NC-ND</w:t>
      </w:r>
    </w:p>
    <w:p w14:paraId="542EB501" w14:textId="4066690E" w:rsidR="006235D9" w:rsidRPr="006235D9" w:rsidRDefault="006235D9" w:rsidP="006235D9">
      <w:pPr>
        <w:pStyle w:val="ListParagraph"/>
        <w:numPr>
          <w:ilvl w:val="0"/>
          <w:numId w:val="21"/>
        </w:numPr>
        <w:rPr>
          <w:rFonts w:ascii="Arial" w:hAnsi="Arial" w:cs="Arial"/>
          <w:b/>
          <w:bCs/>
          <w:color w:val="000000" w:themeColor="text1"/>
          <w:sz w:val="20"/>
          <w:szCs w:val="20"/>
        </w:rPr>
      </w:pPr>
      <w:r w:rsidRPr="006235D9">
        <w:rPr>
          <w:rFonts w:ascii="Arial" w:eastAsia="Times New Roman" w:hAnsi="Arial" w:cs="Arial"/>
          <w:color w:val="000000"/>
          <w:sz w:val="20"/>
          <w:szCs w:val="20"/>
        </w:rPr>
        <w:t xml:space="preserve">Public Health Agency of Canada. Canadian Guidelines on Sexually Transmitted Infections: Section 2 - Primary Care and Sexually Transmitted Infections: Prevention, Diagnosis and Clinical Management of Sexually Transmitted Infections in the Primary Care Setting. Updated Feb 1, 2013. Available at: </w:t>
      </w:r>
      <w:hyperlink r:id="rId8" w:history="1">
        <w:r w:rsidRPr="006235D9">
          <w:rPr>
            <w:rStyle w:val="Hyperlink"/>
            <w:rFonts w:ascii="Arial" w:eastAsia="Times New Roman" w:hAnsi="Arial" w:cs="Arial"/>
            <w:sz w:val="20"/>
            <w:szCs w:val="20"/>
          </w:rPr>
          <w:t>http://www.phac-aspc.gc.ca/</w:t>
        </w:r>
      </w:hyperlink>
    </w:p>
    <w:p w14:paraId="082F4CBB" w14:textId="07DD69C1" w:rsidR="00916F8D" w:rsidRPr="006235D9" w:rsidRDefault="006235D9" w:rsidP="006235D9">
      <w:pPr>
        <w:pStyle w:val="ListParagraph"/>
        <w:numPr>
          <w:ilvl w:val="0"/>
          <w:numId w:val="21"/>
        </w:numPr>
        <w:rPr>
          <w:rFonts w:ascii="Arial" w:hAnsi="Arial" w:cs="Arial"/>
          <w:b/>
          <w:bCs/>
          <w:color w:val="000000" w:themeColor="text1"/>
          <w:sz w:val="20"/>
          <w:szCs w:val="20"/>
        </w:rPr>
      </w:pPr>
      <w:proofErr w:type="spellStart"/>
      <w:r w:rsidRPr="006235D9">
        <w:rPr>
          <w:rFonts w:ascii="Arial" w:eastAsia="Times New Roman" w:hAnsi="Arial" w:cs="Arial"/>
          <w:color w:val="000000"/>
          <w:sz w:val="20"/>
          <w:szCs w:val="20"/>
        </w:rPr>
        <w:t>Callery</w:t>
      </w:r>
      <w:proofErr w:type="spellEnd"/>
      <w:r w:rsidRPr="006235D9">
        <w:rPr>
          <w:rFonts w:ascii="Arial" w:eastAsia="Times New Roman" w:hAnsi="Arial" w:cs="Arial"/>
          <w:color w:val="000000"/>
          <w:sz w:val="20"/>
          <w:szCs w:val="20"/>
        </w:rPr>
        <w:t xml:space="preserve"> E, </w:t>
      </w:r>
      <w:proofErr w:type="spellStart"/>
      <w:r w:rsidRPr="006235D9">
        <w:rPr>
          <w:rFonts w:ascii="Arial" w:eastAsia="Times New Roman" w:hAnsi="Arial" w:cs="Arial"/>
          <w:color w:val="000000"/>
          <w:sz w:val="20"/>
          <w:szCs w:val="20"/>
        </w:rPr>
        <w:t>Kiehn</w:t>
      </w:r>
      <w:proofErr w:type="spellEnd"/>
      <w:r w:rsidRPr="006235D9">
        <w:rPr>
          <w:rFonts w:ascii="Arial" w:eastAsia="Times New Roman" w:hAnsi="Arial" w:cs="Arial"/>
          <w:color w:val="000000"/>
          <w:sz w:val="20"/>
          <w:szCs w:val="20"/>
        </w:rPr>
        <w:t xml:space="preserve"> L. Vaginitis One-Page Primer. DFCM Open. 2013. Available at: http://dfcmopen.com. Attribution CC BY-NC-ND</w:t>
      </w:r>
    </w:p>
    <w:sectPr w:rsidR="00916F8D" w:rsidRPr="006235D9" w:rsidSect="00FC6D0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A19032" w14:textId="77777777" w:rsidR="00E77BA9" w:rsidRDefault="00E77BA9" w:rsidP="00C8507B">
      <w:r>
        <w:separator/>
      </w:r>
    </w:p>
  </w:endnote>
  <w:endnote w:type="continuationSeparator" w:id="0">
    <w:p w14:paraId="256F50CB" w14:textId="77777777" w:rsidR="00E77BA9" w:rsidRDefault="00E77BA9" w:rsidP="00C85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B058FA" w14:textId="77777777" w:rsidR="00E77BA9" w:rsidRDefault="00E77BA9" w:rsidP="00C8507B">
      <w:r>
        <w:separator/>
      </w:r>
    </w:p>
  </w:footnote>
  <w:footnote w:type="continuationSeparator" w:id="0">
    <w:p w14:paraId="71CB8C4A" w14:textId="77777777" w:rsidR="00E77BA9" w:rsidRDefault="00E77BA9" w:rsidP="00C85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C56ED"/>
    <w:multiLevelType w:val="hybridMultilevel"/>
    <w:tmpl w:val="08D2A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32BF0"/>
    <w:multiLevelType w:val="hybridMultilevel"/>
    <w:tmpl w:val="C2A00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DD1DFD"/>
    <w:multiLevelType w:val="hybridMultilevel"/>
    <w:tmpl w:val="78EA385E"/>
    <w:lvl w:ilvl="0" w:tplc="C6449798">
      <w:numFmt w:val="bullet"/>
      <w:lvlText w:val="•"/>
      <w:lvlJc w:val="left"/>
      <w:pPr>
        <w:ind w:left="720" w:hanging="360"/>
      </w:pPr>
      <w:rPr>
        <w:rFonts w:ascii="Arial" w:eastAsia="Times New Roman" w:hAnsi="Arial" w:cs="Arial" w:hint="default"/>
        <w:color w:val="606060"/>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E59D3"/>
    <w:multiLevelType w:val="hybridMultilevel"/>
    <w:tmpl w:val="66F07E18"/>
    <w:lvl w:ilvl="0" w:tplc="C6449798">
      <w:numFmt w:val="bullet"/>
      <w:lvlText w:val="•"/>
      <w:lvlJc w:val="left"/>
      <w:pPr>
        <w:ind w:left="720" w:hanging="360"/>
      </w:pPr>
      <w:rPr>
        <w:rFonts w:ascii="Arial" w:eastAsia="Times New Roman" w:hAnsi="Arial" w:cs="Arial" w:hint="default"/>
        <w:color w:val="606060"/>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05BA2"/>
    <w:multiLevelType w:val="hybridMultilevel"/>
    <w:tmpl w:val="23061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575EAB"/>
    <w:multiLevelType w:val="hybridMultilevel"/>
    <w:tmpl w:val="34947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E0C08"/>
    <w:multiLevelType w:val="hybridMultilevel"/>
    <w:tmpl w:val="6B3C63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65CE5"/>
    <w:multiLevelType w:val="hybridMultilevel"/>
    <w:tmpl w:val="FE546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D918F7"/>
    <w:multiLevelType w:val="hybridMultilevel"/>
    <w:tmpl w:val="E8EC3E3E"/>
    <w:lvl w:ilvl="0" w:tplc="C6449798">
      <w:numFmt w:val="bullet"/>
      <w:lvlText w:val="•"/>
      <w:lvlJc w:val="left"/>
      <w:pPr>
        <w:ind w:left="720" w:hanging="360"/>
      </w:pPr>
      <w:rPr>
        <w:rFonts w:ascii="Arial" w:eastAsia="Times New Roman" w:hAnsi="Arial" w:cs="Arial" w:hint="default"/>
        <w:color w:val="606060"/>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7950A2"/>
    <w:multiLevelType w:val="hybridMultilevel"/>
    <w:tmpl w:val="5A2CCB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611C70"/>
    <w:multiLevelType w:val="hybridMultilevel"/>
    <w:tmpl w:val="35A2D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501FE"/>
    <w:multiLevelType w:val="hybridMultilevel"/>
    <w:tmpl w:val="1F6A7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A25DF0"/>
    <w:multiLevelType w:val="hybridMultilevel"/>
    <w:tmpl w:val="C8D87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631EB5"/>
    <w:multiLevelType w:val="hybridMultilevel"/>
    <w:tmpl w:val="7ADE0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0605C4"/>
    <w:multiLevelType w:val="hybridMultilevel"/>
    <w:tmpl w:val="B274BA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682006"/>
    <w:multiLevelType w:val="hybridMultilevel"/>
    <w:tmpl w:val="8E34E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14552"/>
    <w:multiLevelType w:val="hybridMultilevel"/>
    <w:tmpl w:val="3D987F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3573220"/>
    <w:multiLevelType w:val="hybridMultilevel"/>
    <w:tmpl w:val="43CEA0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9E6479A"/>
    <w:multiLevelType w:val="hybridMultilevel"/>
    <w:tmpl w:val="6A248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1707C4F"/>
    <w:multiLevelType w:val="hybridMultilevel"/>
    <w:tmpl w:val="6568D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7D973E5"/>
    <w:multiLevelType w:val="multilevel"/>
    <w:tmpl w:val="EBBAC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1B49FA"/>
    <w:multiLevelType w:val="hybridMultilevel"/>
    <w:tmpl w:val="913E7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D51F98"/>
    <w:multiLevelType w:val="hybridMultilevel"/>
    <w:tmpl w:val="A19090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691000"/>
    <w:multiLevelType w:val="hybridMultilevel"/>
    <w:tmpl w:val="20C2F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D06740"/>
    <w:multiLevelType w:val="hybridMultilevel"/>
    <w:tmpl w:val="AE38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B224AC"/>
    <w:multiLevelType w:val="hybridMultilevel"/>
    <w:tmpl w:val="2D7421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31B5CC1"/>
    <w:multiLevelType w:val="hybridMultilevel"/>
    <w:tmpl w:val="62E0C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56943C1"/>
    <w:multiLevelType w:val="hybridMultilevel"/>
    <w:tmpl w:val="1592F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732926"/>
    <w:multiLevelType w:val="hybridMultilevel"/>
    <w:tmpl w:val="B8427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230F0C"/>
    <w:multiLevelType w:val="hybridMultilevel"/>
    <w:tmpl w:val="EC307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4"/>
  </w:num>
  <w:num w:numId="3">
    <w:abstractNumId w:val="18"/>
  </w:num>
  <w:num w:numId="4">
    <w:abstractNumId w:val="13"/>
  </w:num>
  <w:num w:numId="5">
    <w:abstractNumId w:val="10"/>
  </w:num>
  <w:num w:numId="6">
    <w:abstractNumId w:val="19"/>
  </w:num>
  <w:num w:numId="7">
    <w:abstractNumId w:val="5"/>
  </w:num>
  <w:num w:numId="8">
    <w:abstractNumId w:val="23"/>
  </w:num>
  <w:num w:numId="9">
    <w:abstractNumId w:val="12"/>
  </w:num>
  <w:num w:numId="10">
    <w:abstractNumId w:val="14"/>
  </w:num>
  <w:num w:numId="11">
    <w:abstractNumId w:val="15"/>
  </w:num>
  <w:num w:numId="12">
    <w:abstractNumId w:val="27"/>
  </w:num>
  <w:num w:numId="13">
    <w:abstractNumId w:val="11"/>
  </w:num>
  <w:num w:numId="14">
    <w:abstractNumId w:val="25"/>
  </w:num>
  <w:num w:numId="15">
    <w:abstractNumId w:val="0"/>
  </w:num>
  <w:num w:numId="16">
    <w:abstractNumId w:val="29"/>
  </w:num>
  <w:num w:numId="17">
    <w:abstractNumId w:val="28"/>
  </w:num>
  <w:num w:numId="18">
    <w:abstractNumId w:val="3"/>
  </w:num>
  <w:num w:numId="19">
    <w:abstractNumId w:val="2"/>
  </w:num>
  <w:num w:numId="20">
    <w:abstractNumId w:val="8"/>
  </w:num>
  <w:num w:numId="21">
    <w:abstractNumId w:val="17"/>
  </w:num>
  <w:num w:numId="22">
    <w:abstractNumId w:val="21"/>
  </w:num>
  <w:num w:numId="23">
    <w:abstractNumId w:val="9"/>
  </w:num>
  <w:num w:numId="24">
    <w:abstractNumId w:val="16"/>
  </w:num>
  <w:num w:numId="25">
    <w:abstractNumId w:val="7"/>
  </w:num>
  <w:num w:numId="26">
    <w:abstractNumId w:val="22"/>
  </w:num>
  <w:num w:numId="27">
    <w:abstractNumId w:val="26"/>
  </w:num>
  <w:num w:numId="28">
    <w:abstractNumId w:val="6"/>
  </w:num>
  <w:num w:numId="29">
    <w:abstractNumId w:val="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5D6"/>
    <w:rsid w:val="001135D6"/>
    <w:rsid w:val="00245E5C"/>
    <w:rsid w:val="002A7B2D"/>
    <w:rsid w:val="002E7841"/>
    <w:rsid w:val="0041616A"/>
    <w:rsid w:val="00512D71"/>
    <w:rsid w:val="005273DD"/>
    <w:rsid w:val="006235D9"/>
    <w:rsid w:val="006F3177"/>
    <w:rsid w:val="00724BC2"/>
    <w:rsid w:val="00787CE9"/>
    <w:rsid w:val="00916F8D"/>
    <w:rsid w:val="00AE345E"/>
    <w:rsid w:val="00B20851"/>
    <w:rsid w:val="00C8507B"/>
    <w:rsid w:val="00CE5114"/>
    <w:rsid w:val="00DD4241"/>
    <w:rsid w:val="00E77BA9"/>
    <w:rsid w:val="00FC6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AC522"/>
  <w14:defaultImageDpi w14:val="32767"/>
  <w15:chartTrackingRefBased/>
  <w15:docId w15:val="{CD364DEE-9679-9C46-ACA9-9D0C29AA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5D6"/>
    <w:pPr>
      <w:ind w:left="720"/>
      <w:contextualSpacing/>
    </w:pPr>
  </w:style>
  <w:style w:type="paragraph" w:styleId="Header">
    <w:name w:val="header"/>
    <w:basedOn w:val="Normal"/>
    <w:link w:val="HeaderChar"/>
    <w:uiPriority w:val="99"/>
    <w:unhideWhenUsed/>
    <w:rsid w:val="00C8507B"/>
    <w:pPr>
      <w:tabs>
        <w:tab w:val="center" w:pos="4680"/>
        <w:tab w:val="right" w:pos="9360"/>
      </w:tabs>
    </w:pPr>
  </w:style>
  <w:style w:type="character" w:customStyle="1" w:styleId="HeaderChar">
    <w:name w:val="Header Char"/>
    <w:basedOn w:val="DefaultParagraphFont"/>
    <w:link w:val="Header"/>
    <w:uiPriority w:val="99"/>
    <w:rsid w:val="00C8507B"/>
  </w:style>
  <w:style w:type="paragraph" w:styleId="Footer">
    <w:name w:val="footer"/>
    <w:basedOn w:val="Normal"/>
    <w:link w:val="FooterChar"/>
    <w:uiPriority w:val="99"/>
    <w:unhideWhenUsed/>
    <w:rsid w:val="00C8507B"/>
    <w:pPr>
      <w:tabs>
        <w:tab w:val="center" w:pos="4680"/>
        <w:tab w:val="right" w:pos="9360"/>
      </w:tabs>
    </w:pPr>
  </w:style>
  <w:style w:type="character" w:customStyle="1" w:styleId="FooterChar">
    <w:name w:val="Footer Char"/>
    <w:basedOn w:val="DefaultParagraphFont"/>
    <w:link w:val="Footer"/>
    <w:uiPriority w:val="99"/>
    <w:rsid w:val="00C8507B"/>
  </w:style>
  <w:style w:type="paragraph" w:customStyle="1" w:styleId="pagecontents">
    <w:name w:val="pagecontents"/>
    <w:basedOn w:val="Normal"/>
    <w:rsid w:val="00C8507B"/>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C8507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C8507B"/>
    <w:rPr>
      <w:color w:val="0563C1" w:themeColor="hyperlink"/>
      <w:u w:val="single"/>
    </w:rPr>
  </w:style>
  <w:style w:type="character" w:styleId="UnresolvedMention">
    <w:name w:val="Unresolved Mention"/>
    <w:basedOn w:val="DefaultParagraphFont"/>
    <w:uiPriority w:val="99"/>
    <w:rsid w:val="00C8507B"/>
    <w:rPr>
      <w:color w:val="605E5C"/>
      <w:shd w:val="clear" w:color="auto" w:fill="E1DFDD"/>
    </w:rPr>
  </w:style>
  <w:style w:type="character" w:styleId="FollowedHyperlink">
    <w:name w:val="FollowedHyperlink"/>
    <w:basedOn w:val="DefaultParagraphFont"/>
    <w:uiPriority w:val="99"/>
    <w:semiHidden/>
    <w:unhideWhenUsed/>
    <w:rsid w:val="00C850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2721">
      <w:bodyDiv w:val="1"/>
      <w:marLeft w:val="0"/>
      <w:marRight w:val="0"/>
      <w:marTop w:val="0"/>
      <w:marBottom w:val="0"/>
      <w:divBdr>
        <w:top w:val="none" w:sz="0" w:space="0" w:color="auto"/>
        <w:left w:val="none" w:sz="0" w:space="0" w:color="auto"/>
        <w:bottom w:val="none" w:sz="0" w:space="0" w:color="auto"/>
        <w:right w:val="none" w:sz="0" w:space="0" w:color="auto"/>
      </w:divBdr>
      <w:divsChild>
        <w:div w:id="1428230665">
          <w:marLeft w:val="0"/>
          <w:marRight w:val="0"/>
          <w:marTop w:val="0"/>
          <w:marBottom w:val="0"/>
          <w:divBdr>
            <w:top w:val="none" w:sz="0" w:space="0" w:color="auto"/>
            <w:left w:val="none" w:sz="0" w:space="0" w:color="auto"/>
            <w:bottom w:val="none" w:sz="0" w:space="0" w:color="auto"/>
            <w:right w:val="none" w:sz="0" w:space="0" w:color="auto"/>
          </w:divBdr>
        </w:div>
      </w:divsChild>
    </w:div>
    <w:div w:id="19361171">
      <w:bodyDiv w:val="1"/>
      <w:marLeft w:val="0"/>
      <w:marRight w:val="0"/>
      <w:marTop w:val="0"/>
      <w:marBottom w:val="0"/>
      <w:divBdr>
        <w:top w:val="none" w:sz="0" w:space="0" w:color="auto"/>
        <w:left w:val="none" w:sz="0" w:space="0" w:color="auto"/>
        <w:bottom w:val="none" w:sz="0" w:space="0" w:color="auto"/>
        <w:right w:val="none" w:sz="0" w:space="0" w:color="auto"/>
      </w:divBdr>
    </w:div>
    <w:div w:id="78017272">
      <w:bodyDiv w:val="1"/>
      <w:marLeft w:val="0"/>
      <w:marRight w:val="0"/>
      <w:marTop w:val="0"/>
      <w:marBottom w:val="0"/>
      <w:divBdr>
        <w:top w:val="none" w:sz="0" w:space="0" w:color="auto"/>
        <w:left w:val="none" w:sz="0" w:space="0" w:color="auto"/>
        <w:bottom w:val="none" w:sz="0" w:space="0" w:color="auto"/>
        <w:right w:val="none" w:sz="0" w:space="0" w:color="auto"/>
      </w:divBdr>
    </w:div>
    <w:div w:id="78791651">
      <w:bodyDiv w:val="1"/>
      <w:marLeft w:val="0"/>
      <w:marRight w:val="0"/>
      <w:marTop w:val="0"/>
      <w:marBottom w:val="0"/>
      <w:divBdr>
        <w:top w:val="none" w:sz="0" w:space="0" w:color="auto"/>
        <w:left w:val="none" w:sz="0" w:space="0" w:color="auto"/>
        <w:bottom w:val="none" w:sz="0" w:space="0" w:color="auto"/>
        <w:right w:val="none" w:sz="0" w:space="0" w:color="auto"/>
      </w:divBdr>
      <w:divsChild>
        <w:div w:id="33697551">
          <w:marLeft w:val="0"/>
          <w:marRight w:val="0"/>
          <w:marTop w:val="0"/>
          <w:marBottom w:val="0"/>
          <w:divBdr>
            <w:top w:val="none" w:sz="0" w:space="0" w:color="auto"/>
            <w:left w:val="none" w:sz="0" w:space="0" w:color="auto"/>
            <w:bottom w:val="none" w:sz="0" w:space="0" w:color="auto"/>
            <w:right w:val="none" w:sz="0" w:space="0" w:color="auto"/>
          </w:divBdr>
        </w:div>
      </w:divsChild>
    </w:div>
    <w:div w:id="165170583">
      <w:bodyDiv w:val="1"/>
      <w:marLeft w:val="0"/>
      <w:marRight w:val="0"/>
      <w:marTop w:val="0"/>
      <w:marBottom w:val="0"/>
      <w:divBdr>
        <w:top w:val="none" w:sz="0" w:space="0" w:color="auto"/>
        <w:left w:val="none" w:sz="0" w:space="0" w:color="auto"/>
        <w:bottom w:val="none" w:sz="0" w:space="0" w:color="auto"/>
        <w:right w:val="none" w:sz="0" w:space="0" w:color="auto"/>
      </w:divBdr>
      <w:divsChild>
        <w:div w:id="1056658876">
          <w:marLeft w:val="0"/>
          <w:marRight w:val="0"/>
          <w:marTop w:val="0"/>
          <w:marBottom w:val="0"/>
          <w:divBdr>
            <w:top w:val="none" w:sz="0" w:space="0" w:color="auto"/>
            <w:left w:val="none" w:sz="0" w:space="0" w:color="auto"/>
            <w:bottom w:val="none" w:sz="0" w:space="0" w:color="auto"/>
            <w:right w:val="none" w:sz="0" w:space="0" w:color="auto"/>
          </w:divBdr>
        </w:div>
      </w:divsChild>
    </w:div>
    <w:div w:id="374892641">
      <w:bodyDiv w:val="1"/>
      <w:marLeft w:val="0"/>
      <w:marRight w:val="0"/>
      <w:marTop w:val="0"/>
      <w:marBottom w:val="0"/>
      <w:divBdr>
        <w:top w:val="none" w:sz="0" w:space="0" w:color="auto"/>
        <w:left w:val="none" w:sz="0" w:space="0" w:color="auto"/>
        <w:bottom w:val="none" w:sz="0" w:space="0" w:color="auto"/>
        <w:right w:val="none" w:sz="0" w:space="0" w:color="auto"/>
      </w:divBdr>
    </w:div>
    <w:div w:id="670136758">
      <w:bodyDiv w:val="1"/>
      <w:marLeft w:val="0"/>
      <w:marRight w:val="0"/>
      <w:marTop w:val="0"/>
      <w:marBottom w:val="0"/>
      <w:divBdr>
        <w:top w:val="none" w:sz="0" w:space="0" w:color="auto"/>
        <w:left w:val="none" w:sz="0" w:space="0" w:color="auto"/>
        <w:bottom w:val="none" w:sz="0" w:space="0" w:color="auto"/>
        <w:right w:val="none" w:sz="0" w:space="0" w:color="auto"/>
      </w:divBdr>
    </w:div>
    <w:div w:id="703755759">
      <w:bodyDiv w:val="1"/>
      <w:marLeft w:val="0"/>
      <w:marRight w:val="0"/>
      <w:marTop w:val="0"/>
      <w:marBottom w:val="0"/>
      <w:divBdr>
        <w:top w:val="none" w:sz="0" w:space="0" w:color="auto"/>
        <w:left w:val="none" w:sz="0" w:space="0" w:color="auto"/>
        <w:bottom w:val="none" w:sz="0" w:space="0" w:color="auto"/>
        <w:right w:val="none" w:sz="0" w:space="0" w:color="auto"/>
      </w:divBdr>
    </w:div>
    <w:div w:id="769812844">
      <w:bodyDiv w:val="1"/>
      <w:marLeft w:val="0"/>
      <w:marRight w:val="0"/>
      <w:marTop w:val="0"/>
      <w:marBottom w:val="0"/>
      <w:divBdr>
        <w:top w:val="none" w:sz="0" w:space="0" w:color="auto"/>
        <w:left w:val="none" w:sz="0" w:space="0" w:color="auto"/>
        <w:bottom w:val="none" w:sz="0" w:space="0" w:color="auto"/>
        <w:right w:val="none" w:sz="0" w:space="0" w:color="auto"/>
      </w:divBdr>
    </w:div>
    <w:div w:id="791021129">
      <w:bodyDiv w:val="1"/>
      <w:marLeft w:val="0"/>
      <w:marRight w:val="0"/>
      <w:marTop w:val="0"/>
      <w:marBottom w:val="0"/>
      <w:divBdr>
        <w:top w:val="none" w:sz="0" w:space="0" w:color="auto"/>
        <w:left w:val="none" w:sz="0" w:space="0" w:color="auto"/>
        <w:bottom w:val="none" w:sz="0" w:space="0" w:color="auto"/>
        <w:right w:val="none" w:sz="0" w:space="0" w:color="auto"/>
      </w:divBdr>
    </w:div>
    <w:div w:id="794905932">
      <w:bodyDiv w:val="1"/>
      <w:marLeft w:val="0"/>
      <w:marRight w:val="0"/>
      <w:marTop w:val="0"/>
      <w:marBottom w:val="0"/>
      <w:divBdr>
        <w:top w:val="none" w:sz="0" w:space="0" w:color="auto"/>
        <w:left w:val="none" w:sz="0" w:space="0" w:color="auto"/>
        <w:bottom w:val="none" w:sz="0" w:space="0" w:color="auto"/>
        <w:right w:val="none" w:sz="0" w:space="0" w:color="auto"/>
      </w:divBdr>
      <w:divsChild>
        <w:div w:id="1862086547">
          <w:marLeft w:val="0"/>
          <w:marRight w:val="0"/>
          <w:marTop w:val="0"/>
          <w:marBottom w:val="0"/>
          <w:divBdr>
            <w:top w:val="none" w:sz="0" w:space="0" w:color="auto"/>
            <w:left w:val="none" w:sz="0" w:space="0" w:color="auto"/>
            <w:bottom w:val="none" w:sz="0" w:space="0" w:color="auto"/>
            <w:right w:val="none" w:sz="0" w:space="0" w:color="auto"/>
          </w:divBdr>
        </w:div>
      </w:divsChild>
    </w:div>
    <w:div w:id="850727320">
      <w:bodyDiv w:val="1"/>
      <w:marLeft w:val="0"/>
      <w:marRight w:val="0"/>
      <w:marTop w:val="0"/>
      <w:marBottom w:val="0"/>
      <w:divBdr>
        <w:top w:val="none" w:sz="0" w:space="0" w:color="auto"/>
        <w:left w:val="none" w:sz="0" w:space="0" w:color="auto"/>
        <w:bottom w:val="none" w:sz="0" w:space="0" w:color="auto"/>
        <w:right w:val="none" w:sz="0" w:space="0" w:color="auto"/>
      </w:divBdr>
    </w:div>
    <w:div w:id="893278784">
      <w:bodyDiv w:val="1"/>
      <w:marLeft w:val="0"/>
      <w:marRight w:val="0"/>
      <w:marTop w:val="0"/>
      <w:marBottom w:val="0"/>
      <w:divBdr>
        <w:top w:val="none" w:sz="0" w:space="0" w:color="auto"/>
        <w:left w:val="none" w:sz="0" w:space="0" w:color="auto"/>
        <w:bottom w:val="none" w:sz="0" w:space="0" w:color="auto"/>
        <w:right w:val="none" w:sz="0" w:space="0" w:color="auto"/>
      </w:divBdr>
    </w:div>
    <w:div w:id="998001304">
      <w:bodyDiv w:val="1"/>
      <w:marLeft w:val="0"/>
      <w:marRight w:val="0"/>
      <w:marTop w:val="0"/>
      <w:marBottom w:val="0"/>
      <w:divBdr>
        <w:top w:val="none" w:sz="0" w:space="0" w:color="auto"/>
        <w:left w:val="none" w:sz="0" w:space="0" w:color="auto"/>
        <w:bottom w:val="none" w:sz="0" w:space="0" w:color="auto"/>
        <w:right w:val="none" w:sz="0" w:space="0" w:color="auto"/>
      </w:divBdr>
    </w:div>
    <w:div w:id="1009867683">
      <w:bodyDiv w:val="1"/>
      <w:marLeft w:val="0"/>
      <w:marRight w:val="0"/>
      <w:marTop w:val="0"/>
      <w:marBottom w:val="0"/>
      <w:divBdr>
        <w:top w:val="none" w:sz="0" w:space="0" w:color="auto"/>
        <w:left w:val="none" w:sz="0" w:space="0" w:color="auto"/>
        <w:bottom w:val="none" w:sz="0" w:space="0" w:color="auto"/>
        <w:right w:val="none" w:sz="0" w:space="0" w:color="auto"/>
      </w:divBdr>
    </w:div>
    <w:div w:id="1072772494">
      <w:bodyDiv w:val="1"/>
      <w:marLeft w:val="0"/>
      <w:marRight w:val="0"/>
      <w:marTop w:val="0"/>
      <w:marBottom w:val="0"/>
      <w:divBdr>
        <w:top w:val="none" w:sz="0" w:space="0" w:color="auto"/>
        <w:left w:val="none" w:sz="0" w:space="0" w:color="auto"/>
        <w:bottom w:val="none" w:sz="0" w:space="0" w:color="auto"/>
        <w:right w:val="none" w:sz="0" w:space="0" w:color="auto"/>
      </w:divBdr>
    </w:div>
    <w:div w:id="1106071536">
      <w:bodyDiv w:val="1"/>
      <w:marLeft w:val="0"/>
      <w:marRight w:val="0"/>
      <w:marTop w:val="0"/>
      <w:marBottom w:val="0"/>
      <w:divBdr>
        <w:top w:val="none" w:sz="0" w:space="0" w:color="auto"/>
        <w:left w:val="none" w:sz="0" w:space="0" w:color="auto"/>
        <w:bottom w:val="none" w:sz="0" w:space="0" w:color="auto"/>
        <w:right w:val="none" w:sz="0" w:space="0" w:color="auto"/>
      </w:divBdr>
    </w:div>
    <w:div w:id="1159030713">
      <w:bodyDiv w:val="1"/>
      <w:marLeft w:val="0"/>
      <w:marRight w:val="0"/>
      <w:marTop w:val="0"/>
      <w:marBottom w:val="0"/>
      <w:divBdr>
        <w:top w:val="none" w:sz="0" w:space="0" w:color="auto"/>
        <w:left w:val="none" w:sz="0" w:space="0" w:color="auto"/>
        <w:bottom w:val="none" w:sz="0" w:space="0" w:color="auto"/>
        <w:right w:val="none" w:sz="0" w:space="0" w:color="auto"/>
      </w:divBdr>
      <w:divsChild>
        <w:div w:id="1769151532">
          <w:marLeft w:val="0"/>
          <w:marRight w:val="0"/>
          <w:marTop w:val="0"/>
          <w:marBottom w:val="0"/>
          <w:divBdr>
            <w:top w:val="none" w:sz="0" w:space="0" w:color="auto"/>
            <w:left w:val="none" w:sz="0" w:space="0" w:color="auto"/>
            <w:bottom w:val="none" w:sz="0" w:space="0" w:color="auto"/>
            <w:right w:val="none" w:sz="0" w:space="0" w:color="auto"/>
          </w:divBdr>
        </w:div>
      </w:divsChild>
    </w:div>
    <w:div w:id="1201086656">
      <w:bodyDiv w:val="1"/>
      <w:marLeft w:val="0"/>
      <w:marRight w:val="0"/>
      <w:marTop w:val="0"/>
      <w:marBottom w:val="0"/>
      <w:divBdr>
        <w:top w:val="none" w:sz="0" w:space="0" w:color="auto"/>
        <w:left w:val="none" w:sz="0" w:space="0" w:color="auto"/>
        <w:bottom w:val="none" w:sz="0" w:space="0" w:color="auto"/>
        <w:right w:val="none" w:sz="0" w:space="0" w:color="auto"/>
      </w:divBdr>
    </w:div>
    <w:div w:id="1329558995">
      <w:bodyDiv w:val="1"/>
      <w:marLeft w:val="0"/>
      <w:marRight w:val="0"/>
      <w:marTop w:val="0"/>
      <w:marBottom w:val="0"/>
      <w:divBdr>
        <w:top w:val="none" w:sz="0" w:space="0" w:color="auto"/>
        <w:left w:val="none" w:sz="0" w:space="0" w:color="auto"/>
        <w:bottom w:val="none" w:sz="0" w:space="0" w:color="auto"/>
        <w:right w:val="none" w:sz="0" w:space="0" w:color="auto"/>
      </w:divBdr>
    </w:div>
    <w:div w:id="1377005190">
      <w:bodyDiv w:val="1"/>
      <w:marLeft w:val="0"/>
      <w:marRight w:val="0"/>
      <w:marTop w:val="0"/>
      <w:marBottom w:val="0"/>
      <w:divBdr>
        <w:top w:val="none" w:sz="0" w:space="0" w:color="auto"/>
        <w:left w:val="none" w:sz="0" w:space="0" w:color="auto"/>
        <w:bottom w:val="none" w:sz="0" w:space="0" w:color="auto"/>
        <w:right w:val="none" w:sz="0" w:space="0" w:color="auto"/>
      </w:divBdr>
      <w:divsChild>
        <w:div w:id="631403530">
          <w:marLeft w:val="0"/>
          <w:marRight w:val="0"/>
          <w:marTop w:val="0"/>
          <w:marBottom w:val="0"/>
          <w:divBdr>
            <w:top w:val="none" w:sz="0" w:space="0" w:color="auto"/>
            <w:left w:val="none" w:sz="0" w:space="0" w:color="auto"/>
            <w:bottom w:val="none" w:sz="0" w:space="0" w:color="auto"/>
            <w:right w:val="none" w:sz="0" w:space="0" w:color="auto"/>
          </w:divBdr>
        </w:div>
      </w:divsChild>
    </w:div>
    <w:div w:id="1421638323">
      <w:bodyDiv w:val="1"/>
      <w:marLeft w:val="0"/>
      <w:marRight w:val="0"/>
      <w:marTop w:val="0"/>
      <w:marBottom w:val="0"/>
      <w:divBdr>
        <w:top w:val="none" w:sz="0" w:space="0" w:color="auto"/>
        <w:left w:val="none" w:sz="0" w:space="0" w:color="auto"/>
        <w:bottom w:val="none" w:sz="0" w:space="0" w:color="auto"/>
        <w:right w:val="none" w:sz="0" w:space="0" w:color="auto"/>
      </w:divBdr>
    </w:div>
    <w:div w:id="1606692963">
      <w:bodyDiv w:val="1"/>
      <w:marLeft w:val="0"/>
      <w:marRight w:val="0"/>
      <w:marTop w:val="0"/>
      <w:marBottom w:val="0"/>
      <w:divBdr>
        <w:top w:val="none" w:sz="0" w:space="0" w:color="auto"/>
        <w:left w:val="none" w:sz="0" w:space="0" w:color="auto"/>
        <w:bottom w:val="none" w:sz="0" w:space="0" w:color="auto"/>
        <w:right w:val="none" w:sz="0" w:space="0" w:color="auto"/>
      </w:divBdr>
    </w:div>
    <w:div w:id="1609897063">
      <w:bodyDiv w:val="1"/>
      <w:marLeft w:val="0"/>
      <w:marRight w:val="0"/>
      <w:marTop w:val="0"/>
      <w:marBottom w:val="0"/>
      <w:divBdr>
        <w:top w:val="none" w:sz="0" w:space="0" w:color="auto"/>
        <w:left w:val="none" w:sz="0" w:space="0" w:color="auto"/>
        <w:bottom w:val="none" w:sz="0" w:space="0" w:color="auto"/>
        <w:right w:val="none" w:sz="0" w:space="0" w:color="auto"/>
      </w:divBdr>
    </w:div>
    <w:div w:id="1694183156">
      <w:bodyDiv w:val="1"/>
      <w:marLeft w:val="0"/>
      <w:marRight w:val="0"/>
      <w:marTop w:val="0"/>
      <w:marBottom w:val="0"/>
      <w:divBdr>
        <w:top w:val="none" w:sz="0" w:space="0" w:color="auto"/>
        <w:left w:val="none" w:sz="0" w:space="0" w:color="auto"/>
        <w:bottom w:val="none" w:sz="0" w:space="0" w:color="auto"/>
        <w:right w:val="none" w:sz="0" w:space="0" w:color="auto"/>
      </w:divBdr>
      <w:divsChild>
        <w:div w:id="289482282">
          <w:marLeft w:val="0"/>
          <w:marRight w:val="0"/>
          <w:marTop w:val="0"/>
          <w:marBottom w:val="0"/>
          <w:divBdr>
            <w:top w:val="none" w:sz="0" w:space="0" w:color="auto"/>
            <w:left w:val="none" w:sz="0" w:space="0" w:color="auto"/>
            <w:bottom w:val="none" w:sz="0" w:space="0" w:color="auto"/>
            <w:right w:val="none" w:sz="0" w:space="0" w:color="auto"/>
          </w:divBdr>
        </w:div>
      </w:divsChild>
    </w:div>
    <w:div w:id="1810434149">
      <w:bodyDiv w:val="1"/>
      <w:marLeft w:val="0"/>
      <w:marRight w:val="0"/>
      <w:marTop w:val="0"/>
      <w:marBottom w:val="0"/>
      <w:divBdr>
        <w:top w:val="none" w:sz="0" w:space="0" w:color="auto"/>
        <w:left w:val="none" w:sz="0" w:space="0" w:color="auto"/>
        <w:bottom w:val="none" w:sz="0" w:space="0" w:color="auto"/>
        <w:right w:val="none" w:sz="0" w:space="0" w:color="auto"/>
      </w:divBdr>
      <w:divsChild>
        <w:div w:id="779956596">
          <w:marLeft w:val="0"/>
          <w:marRight w:val="0"/>
          <w:marTop w:val="0"/>
          <w:marBottom w:val="0"/>
          <w:divBdr>
            <w:top w:val="none" w:sz="0" w:space="0" w:color="auto"/>
            <w:left w:val="none" w:sz="0" w:space="0" w:color="auto"/>
            <w:bottom w:val="none" w:sz="0" w:space="0" w:color="auto"/>
            <w:right w:val="none" w:sz="0" w:space="0" w:color="auto"/>
          </w:divBdr>
        </w:div>
      </w:divsChild>
    </w:div>
    <w:div w:id="1843545793">
      <w:bodyDiv w:val="1"/>
      <w:marLeft w:val="0"/>
      <w:marRight w:val="0"/>
      <w:marTop w:val="0"/>
      <w:marBottom w:val="0"/>
      <w:divBdr>
        <w:top w:val="none" w:sz="0" w:space="0" w:color="auto"/>
        <w:left w:val="none" w:sz="0" w:space="0" w:color="auto"/>
        <w:bottom w:val="none" w:sz="0" w:space="0" w:color="auto"/>
        <w:right w:val="none" w:sz="0" w:space="0" w:color="auto"/>
      </w:divBdr>
    </w:div>
    <w:div w:id="1866210693">
      <w:bodyDiv w:val="1"/>
      <w:marLeft w:val="0"/>
      <w:marRight w:val="0"/>
      <w:marTop w:val="0"/>
      <w:marBottom w:val="0"/>
      <w:divBdr>
        <w:top w:val="none" w:sz="0" w:space="0" w:color="auto"/>
        <w:left w:val="none" w:sz="0" w:space="0" w:color="auto"/>
        <w:bottom w:val="none" w:sz="0" w:space="0" w:color="auto"/>
        <w:right w:val="none" w:sz="0" w:space="0" w:color="auto"/>
      </w:divBdr>
    </w:div>
    <w:div w:id="196943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ac-aspc.gc.ca/" TargetMode="External"/><Relationship Id="rId3" Type="http://schemas.openxmlformats.org/officeDocument/2006/relationships/settings" Target="settings.xml"/><Relationship Id="rId7" Type="http://schemas.openxmlformats.org/officeDocument/2006/relationships/hyperlink" Target="http://www2.gov.bc.ca/gov/content/heal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STFM_Staff_Mac</dc:creator>
  <cp:keywords/>
  <dc:description/>
  <cp:lastModifiedBy>STFM_Staff_Mac</cp:lastModifiedBy>
  <cp:revision>4</cp:revision>
  <dcterms:created xsi:type="dcterms:W3CDTF">2020-04-07T20:06:00Z</dcterms:created>
  <dcterms:modified xsi:type="dcterms:W3CDTF">2020-04-07T20:33:00Z</dcterms:modified>
</cp:coreProperties>
</file>